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AA33" w14:textId="77777777" w:rsidR="00A77B3E" w:rsidRDefault="00A77B3E"/>
    <w:p w14:paraId="702D4828" w14:textId="77777777" w:rsidR="00A77B3E" w:rsidRPr="00DF1E49" w:rsidRDefault="005A111E">
      <w:pPr>
        <w:jc w:val="center"/>
        <w:rPr>
          <w:color w:val="000000"/>
          <w:sz w:val="32"/>
          <w:lang w:val="it-IT"/>
        </w:rPr>
      </w:pPr>
      <w:r w:rsidRPr="00DF1E49">
        <w:rPr>
          <w:color w:val="000000"/>
          <w:sz w:val="32"/>
          <w:lang w:val="it-IT"/>
        </w:rPr>
        <w:t>Program SFC2021, ki se financira iz ESRR (cilj „naložbe za delovna mesta in rast“</w:t>
      </w:r>
      <w:r>
        <w:rPr>
          <w:color w:val="000000"/>
          <w:sz w:val="32"/>
        </w:rPr>
        <w:t></w:t>
      </w:r>
      <w:r w:rsidRPr="00DF1E49">
        <w:rPr>
          <w:color w:val="000000"/>
          <w:sz w:val="32"/>
          <w:lang w:val="it-IT"/>
        </w:rPr>
        <w:t>), ESS+, Kohezijskega sklada, SPP in ESPRA – člen 21(3)</w:t>
      </w:r>
    </w:p>
    <w:p w14:paraId="14361A60" w14:textId="77777777" w:rsidR="00A77B3E" w:rsidRPr="00DF1E49" w:rsidRDefault="00A77B3E">
      <w:pPr>
        <w:jc w:val="center"/>
        <w:rPr>
          <w:color w:val="000000"/>
          <w:lang w:val="it-IT"/>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018"/>
      </w:tblGrid>
      <w:tr w:rsidR="00DE13D3" w14:paraId="02CFFFC0" w14:textId="77777777">
        <w:trPr>
          <w:trHeight w:val="240"/>
        </w:trPr>
        <w:tc>
          <w:tcPr>
            <w:tcW w:w="2500" w:type="pct"/>
            <w:tcMar>
              <w:left w:w="100" w:type="dxa"/>
              <w:right w:w="100" w:type="dxa"/>
            </w:tcMar>
          </w:tcPr>
          <w:p w14:paraId="7A9E8174" w14:textId="77777777" w:rsidR="00A77B3E" w:rsidRDefault="005A111E">
            <w:pPr>
              <w:rPr>
                <w:color w:val="000000"/>
              </w:rPr>
            </w:pPr>
            <w:r>
              <w:rPr>
                <w:color w:val="000000"/>
              </w:rPr>
              <w:t>CCI</w:t>
            </w:r>
          </w:p>
        </w:tc>
        <w:tc>
          <w:tcPr>
            <w:tcW w:w="2500" w:type="pct"/>
            <w:tcMar>
              <w:left w:w="100" w:type="dxa"/>
              <w:right w:w="100" w:type="dxa"/>
            </w:tcMar>
          </w:tcPr>
          <w:p w14:paraId="2DD94244" w14:textId="77777777" w:rsidR="00A77B3E" w:rsidRDefault="005A111E">
            <w:pPr>
              <w:rPr>
                <w:color w:val="000000"/>
              </w:rPr>
            </w:pPr>
            <w:r>
              <w:rPr>
                <w:color w:val="000000"/>
              </w:rPr>
              <w:t>2021SI05SFPR001</w:t>
            </w:r>
          </w:p>
        </w:tc>
      </w:tr>
      <w:tr w:rsidR="00DE13D3" w14:paraId="5746F455" w14:textId="77777777">
        <w:trPr>
          <w:trHeight w:val="240"/>
        </w:trPr>
        <w:tc>
          <w:tcPr>
            <w:tcW w:w="2500" w:type="pct"/>
            <w:tcMar>
              <w:left w:w="100" w:type="dxa"/>
              <w:right w:w="100" w:type="dxa"/>
            </w:tcMar>
          </w:tcPr>
          <w:p w14:paraId="00932273" w14:textId="77777777" w:rsidR="00A77B3E" w:rsidRDefault="005A111E">
            <w:pPr>
              <w:rPr>
                <w:color w:val="000000"/>
              </w:rPr>
            </w:pPr>
            <w:r>
              <w:rPr>
                <w:color w:val="000000"/>
              </w:rPr>
              <w:t>Naslov v angleščini</w:t>
            </w:r>
          </w:p>
        </w:tc>
        <w:tc>
          <w:tcPr>
            <w:tcW w:w="2500" w:type="pct"/>
            <w:tcMar>
              <w:left w:w="100" w:type="dxa"/>
              <w:right w:w="100" w:type="dxa"/>
            </w:tcMar>
          </w:tcPr>
          <w:p w14:paraId="279D4403" w14:textId="77777777" w:rsidR="00A77B3E" w:rsidRDefault="005A111E">
            <w:pPr>
              <w:rPr>
                <w:color w:val="000000"/>
              </w:rPr>
            </w:pPr>
            <w:r>
              <w:rPr>
                <w:color w:val="000000"/>
              </w:rPr>
              <w:t>Programme for Addressing Material Deprivation in Slovenia for the period 2021-2027</w:t>
            </w:r>
          </w:p>
        </w:tc>
      </w:tr>
      <w:tr w:rsidR="00DE13D3" w:rsidRPr="00DF1E49" w14:paraId="29468709" w14:textId="77777777">
        <w:trPr>
          <w:trHeight w:val="240"/>
        </w:trPr>
        <w:tc>
          <w:tcPr>
            <w:tcW w:w="2500" w:type="pct"/>
            <w:tcMar>
              <w:left w:w="100" w:type="dxa"/>
              <w:right w:w="100" w:type="dxa"/>
            </w:tcMar>
          </w:tcPr>
          <w:p w14:paraId="5818585A" w14:textId="77777777" w:rsidR="00A77B3E" w:rsidRDefault="005A111E">
            <w:pPr>
              <w:rPr>
                <w:color w:val="000000"/>
              </w:rPr>
            </w:pPr>
            <w:r>
              <w:rPr>
                <w:color w:val="000000"/>
              </w:rPr>
              <w:t>Naslov v nacionalnem jeziku (nacionalnih jezikih)</w:t>
            </w:r>
          </w:p>
        </w:tc>
        <w:tc>
          <w:tcPr>
            <w:tcW w:w="2500" w:type="pct"/>
            <w:tcMar>
              <w:left w:w="100" w:type="dxa"/>
              <w:right w:w="100" w:type="dxa"/>
            </w:tcMar>
          </w:tcPr>
          <w:p w14:paraId="39025368" w14:textId="77777777" w:rsidR="00A77B3E" w:rsidRPr="00DF1E49" w:rsidRDefault="005A111E">
            <w:pPr>
              <w:rPr>
                <w:color w:val="000000"/>
                <w:lang w:val="it-IT"/>
              </w:rPr>
            </w:pPr>
            <w:r w:rsidRPr="00DF1E49">
              <w:rPr>
                <w:color w:val="000000"/>
                <w:lang w:val="it-IT"/>
              </w:rPr>
              <w:t>SL - Program za odpravljanje materialne prikrajšanosti v Sloveniji v obdobju 2021-2027</w:t>
            </w:r>
          </w:p>
        </w:tc>
      </w:tr>
      <w:tr w:rsidR="00DE13D3" w14:paraId="35463A88" w14:textId="77777777">
        <w:trPr>
          <w:trHeight w:val="240"/>
        </w:trPr>
        <w:tc>
          <w:tcPr>
            <w:tcW w:w="2500" w:type="pct"/>
            <w:tcMar>
              <w:left w:w="100" w:type="dxa"/>
              <w:right w:w="100" w:type="dxa"/>
            </w:tcMar>
          </w:tcPr>
          <w:p w14:paraId="11B73E56" w14:textId="77777777" w:rsidR="00A77B3E" w:rsidRDefault="005A111E">
            <w:pPr>
              <w:rPr>
                <w:color w:val="000000"/>
              </w:rPr>
            </w:pPr>
            <w:r>
              <w:rPr>
                <w:color w:val="000000"/>
              </w:rPr>
              <w:t>Različica</w:t>
            </w:r>
          </w:p>
        </w:tc>
        <w:tc>
          <w:tcPr>
            <w:tcW w:w="2500" w:type="pct"/>
            <w:tcMar>
              <w:left w:w="100" w:type="dxa"/>
              <w:right w:w="100" w:type="dxa"/>
            </w:tcMar>
          </w:tcPr>
          <w:p w14:paraId="3DDF2975" w14:textId="0E5D3056" w:rsidR="00A77B3E" w:rsidRDefault="005A111E">
            <w:pPr>
              <w:rPr>
                <w:color w:val="000000"/>
              </w:rPr>
            </w:pPr>
            <w:r>
              <w:rPr>
                <w:color w:val="000000"/>
              </w:rPr>
              <w:t>1.</w:t>
            </w:r>
            <w:r w:rsidR="00DF1E49">
              <w:rPr>
                <w:color w:val="000000"/>
              </w:rPr>
              <w:t>3</w:t>
            </w:r>
          </w:p>
        </w:tc>
      </w:tr>
      <w:tr w:rsidR="00DE13D3" w14:paraId="01D7CDA6" w14:textId="77777777">
        <w:trPr>
          <w:trHeight w:val="240"/>
        </w:trPr>
        <w:tc>
          <w:tcPr>
            <w:tcW w:w="2500" w:type="pct"/>
            <w:tcMar>
              <w:left w:w="100" w:type="dxa"/>
              <w:right w:w="100" w:type="dxa"/>
            </w:tcMar>
          </w:tcPr>
          <w:p w14:paraId="624042C1" w14:textId="77777777" w:rsidR="00A77B3E" w:rsidRDefault="005A111E">
            <w:pPr>
              <w:rPr>
                <w:color w:val="000000"/>
              </w:rPr>
            </w:pPr>
            <w:r>
              <w:rPr>
                <w:color w:val="000000"/>
              </w:rPr>
              <w:t>Prvo leto</w:t>
            </w:r>
          </w:p>
        </w:tc>
        <w:tc>
          <w:tcPr>
            <w:tcW w:w="2500" w:type="pct"/>
            <w:tcMar>
              <w:left w:w="100" w:type="dxa"/>
              <w:right w:w="100" w:type="dxa"/>
            </w:tcMar>
          </w:tcPr>
          <w:p w14:paraId="564DCDAA" w14:textId="77777777" w:rsidR="00A77B3E" w:rsidRDefault="005A111E">
            <w:pPr>
              <w:rPr>
                <w:color w:val="000000"/>
              </w:rPr>
            </w:pPr>
            <w:r>
              <w:rPr>
                <w:color w:val="000000"/>
              </w:rPr>
              <w:t>2021</w:t>
            </w:r>
          </w:p>
        </w:tc>
      </w:tr>
      <w:tr w:rsidR="00DE13D3" w14:paraId="73833C6D" w14:textId="77777777">
        <w:trPr>
          <w:trHeight w:val="240"/>
        </w:trPr>
        <w:tc>
          <w:tcPr>
            <w:tcW w:w="2500" w:type="pct"/>
            <w:tcMar>
              <w:left w:w="100" w:type="dxa"/>
              <w:right w:w="100" w:type="dxa"/>
            </w:tcMar>
          </w:tcPr>
          <w:p w14:paraId="4EF91971" w14:textId="77777777" w:rsidR="00A77B3E" w:rsidRDefault="005A111E">
            <w:pPr>
              <w:rPr>
                <w:color w:val="000000"/>
              </w:rPr>
            </w:pPr>
            <w:r>
              <w:rPr>
                <w:color w:val="000000"/>
              </w:rPr>
              <w:t>Zadnje leto</w:t>
            </w:r>
          </w:p>
        </w:tc>
        <w:tc>
          <w:tcPr>
            <w:tcW w:w="2500" w:type="pct"/>
            <w:tcMar>
              <w:left w:w="100" w:type="dxa"/>
              <w:right w:w="100" w:type="dxa"/>
            </w:tcMar>
          </w:tcPr>
          <w:p w14:paraId="4551F079" w14:textId="77777777" w:rsidR="00A77B3E" w:rsidRDefault="005A111E">
            <w:pPr>
              <w:rPr>
                <w:color w:val="000000"/>
              </w:rPr>
            </w:pPr>
            <w:r>
              <w:rPr>
                <w:color w:val="000000"/>
              </w:rPr>
              <w:t>2027</w:t>
            </w:r>
          </w:p>
        </w:tc>
      </w:tr>
      <w:tr w:rsidR="00DE13D3" w14:paraId="1746039A" w14:textId="77777777">
        <w:trPr>
          <w:trHeight w:val="240"/>
        </w:trPr>
        <w:tc>
          <w:tcPr>
            <w:tcW w:w="2500" w:type="pct"/>
            <w:tcMar>
              <w:left w:w="100" w:type="dxa"/>
              <w:right w:w="100" w:type="dxa"/>
            </w:tcMar>
          </w:tcPr>
          <w:p w14:paraId="0CB22613" w14:textId="77777777" w:rsidR="00A77B3E" w:rsidRDefault="005A111E">
            <w:pPr>
              <w:rPr>
                <w:color w:val="000000"/>
              </w:rPr>
            </w:pPr>
            <w:r>
              <w:rPr>
                <w:color w:val="000000"/>
              </w:rPr>
              <w:t>Upravičen od</w:t>
            </w:r>
          </w:p>
        </w:tc>
        <w:tc>
          <w:tcPr>
            <w:tcW w:w="2500" w:type="pct"/>
            <w:tcMar>
              <w:left w:w="100" w:type="dxa"/>
              <w:right w:w="100" w:type="dxa"/>
            </w:tcMar>
          </w:tcPr>
          <w:p w14:paraId="296B5FC6" w14:textId="77777777" w:rsidR="00A77B3E" w:rsidRDefault="005A111E">
            <w:pPr>
              <w:rPr>
                <w:color w:val="000000"/>
              </w:rPr>
            </w:pPr>
            <w:r>
              <w:rPr>
                <w:color w:val="000000"/>
              </w:rPr>
              <w:t>1.1.2021</w:t>
            </w:r>
          </w:p>
        </w:tc>
      </w:tr>
      <w:tr w:rsidR="00DE13D3" w14:paraId="1432B176" w14:textId="77777777">
        <w:trPr>
          <w:trHeight w:val="240"/>
        </w:trPr>
        <w:tc>
          <w:tcPr>
            <w:tcW w:w="2500" w:type="pct"/>
            <w:tcMar>
              <w:left w:w="100" w:type="dxa"/>
              <w:right w:w="100" w:type="dxa"/>
            </w:tcMar>
          </w:tcPr>
          <w:p w14:paraId="7404E829" w14:textId="77777777" w:rsidR="00A77B3E" w:rsidRDefault="005A111E">
            <w:pPr>
              <w:rPr>
                <w:color w:val="000000"/>
              </w:rPr>
            </w:pPr>
            <w:r>
              <w:rPr>
                <w:color w:val="000000"/>
              </w:rPr>
              <w:t>Upravičen do</w:t>
            </w:r>
          </w:p>
        </w:tc>
        <w:tc>
          <w:tcPr>
            <w:tcW w:w="2500" w:type="pct"/>
            <w:tcMar>
              <w:left w:w="100" w:type="dxa"/>
              <w:right w:w="100" w:type="dxa"/>
            </w:tcMar>
          </w:tcPr>
          <w:p w14:paraId="7B4B5617" w14:textId="77777777" w:rsidR="00A77B3E" w:rsidRDefault="005A111E">
            <w:pPr>
              <w:rPr>
                <w:color w:val="000000"/>
              </w:rPr>
            </w:pPr>
            <w:r>
              <w:rPr>
                <w:color w:val="000000"/>
              </w:rPr>
              <w:t>31.12.2029</w:t>
            </w:r>
          </w:p>
        </w:tc>
      </w:tr>
      <w:tr w:rsidR="00DE13D3" w14:paraId="24D192DE" w14:textId="77777777">
        <w:trPr>
          <w:trHeight w:val="240"/>
        </w:trPr>
        <w:tc>
          <w:tcPr>
            <w:tcW w:w="2500" w:type="pct"/>
            <w:tcMar>
              <w:left w:w="100" w:type="dxa"/>
              <w:right w:w="100" w:type="dxa"/>
            </w:tcMar>
          </w:tcPr>
          <w:p w14:paraId="77CEAE24" w14:textId="77777777" w:rsidR="00A77B3E" w:rsidRDefault="005A111E">
            <w:pPr>
              <w:rPr>
                <w:color w:val="000000"/>
              </w:rPr>
            </w:pPr>
            <w:r>
              <w:rPr>
                <w:color w:val="000000"/>
              </w:rPr>
              <w:t>Številka sklepa Komisije</w:t>
            </w:r>
          </w:p>
        </w:tc>
        <w:tc>
          <w:tcPr>
            <w:tcW w:w="2500" w:type="pct"/>
            <w:tcMar>
              <w:left w:w="100" w:type="dxa"/>
              <w:right w:w="100" w:type="dxa"/>
            </w:tcMar>
          </w:tcPr>
          <w:p w14:paraId="4EFB96B6" w14:textId="77777777" w:rsidR="00A77B3E" w:rsidRDefault="00A77B3E">
            <w:pPr>
              <w:rPr>
                <w:color w:val="000000"/>
              </w:rPr>
            </w:pPr>
          </w:p>
        </w:tc>
      </w:tr>
      <w:tr w:rsidR="00DE13D3" w14:paraId="167D5B61" w14:textId="77777777">
        <w:trPr>
          <w:trHeight w:val="240"/>
        </w:trPr>
        <w:tc>
          <w:tcPr>
            <w:tcW w:w="2500" w:type="pct"/>
            <w:tcMar>
              <w:left w:w="100" w:type="dxa"/>
              <w:right w:w="100" w:type="dxa"/>
            </w:tcMar>
          </w:tcPr>
          <w:p w14:paraId="16FC24D2" w14:textId="77777777" w:rsidR="00A77B3E" w:rsidRDefault="005A111E">
            <w:pPr>
              <w:rPr>
                <w:color w:val="000000"/>
              </w:rPr>
            </w:pPr>
            <w:r>
              <w:rPr>
                <w:color w:val="000000"/>
              </w:rPr>
              <w:t>Datum sklepa Komisije</w:t>
            </w:r>
          </w:p>
        </w:tc>
        <w:tc>
          <w:tcPr>
            <w:tcW w:w="2500" w:type="pct"/>
            <w:tcMar>
              <w:left w:w="100" w:type="dxa"/>
              <w:right w:w="100" w:type="dxa"/>
            </w:tcMar>
          </w:tcPr>
          <w:p w14:paraId="621D3B6B" w14:textId="77777777" w:rsidR="00A77B3E" w:rsidRDefault="00A77B3E">
            <w:pPr>
              <w:rPr>
                <w:color w:val="000000"/>
              </w:rPr>
            </w:pPr>
          </w:p>
        </w:tc>
      </w:tr>
      <w:tr w:rsidR="00DE13D3" w14:paraId="38EC6E50" w14:textId="77777777">
        <w:trPr>
          <w:trHeight w:val="240"/>
        </w:trPr>
        <w:tc>
          <w:tcPr>
            <w:tcW w:w="2500" w:type="pct"/>
            <w:tcMar>
              <w:left w:w="100" w:type="dxa"/>
              <w:right w:w="100" w:type="dxa"/>
            </w:tcMar>
          </w:tcPr>
          <w:p w14:paraId="6227541B" w14:textId="77777777" w:rsidR="00A77B3E" w:rsidRDefault="005A111E">
            <w:pPr>
              <w:rPr>
                <w:color w:val="000000"/>
              </w:rPr>
            </w:pPr>
            <w:r>
              <w:rPr>
                <w:color w:val="000000"/>
              </w:rPr>
              <w:t>Regije NUTS, ki so zajete v programu</w:t>
            </w:r>
          </w:p>
        </w:tc>
        <w:tc>
          <w:tcPr>
            <w:tcW w:w="2500" w:type="pct"/>
            <w:tcMar>
              <w:left w:w="100" w:type="dxa"/>
              <w:right w:w="100" w:type="dxa"/>
            </w:tcMar>
          </w:tcPr>
          <w:p w14:paraId="19D26EAC" w14:textId="77777777" w:rsidR="00A77B3E" w:rsidRDefault="005A111E">
            <w:pPr>
              <w:rPr>
                <w:color w:val="000000"/>
              </w:rPr>
            </w:pPr>
            <w:r>
              <w:rPr>
                <w:color w:val="000000"/>
              </w:rPr>
              <w:t>SI0 - Slovenija</w:t>
            </w:r>
            <w:r>
              <w:rPr>
                <w:color w:val="000000"/>
              </w:rPr>
              <w:br/>
              <w:t>SI03 - Vzhodna Slovenija</w:t>
            </w:r>
            <w:r>
              <w:rPr>
                <w:color w:val="000000"/>
              </w:rPr>
              <w:br/>
              <w:t>SI031 - Pomurska</w:t>
            </w:r>
            <w:r>
              <w:rPr>
                <w:color w:val="000000"/>
              </w:rPr>
              <w:br/>
              <w:t>SI032 - Podravska</w:t>
            </w:r>
            <w:r>
              <w:rPr>
                <w:color w:val="000000"/>
              </w:rPr>
              <w:br/>
              <w:t>SI033 - Koroška</w:t>
            </w:r>
            <w:r>
              <w:rPr>
                <w:color w:val="000000"/>
              </w:rPr>
              <w:br/>
              <w:t>SI034 - Savinjska</w:t>
            </w:r>
            <w:r>
              <w:rPr>
                <w:color w:val="000000"/>
              </w:rPr>
              <w:br/>
              <w:t>SI035 - Zasavska</w:t>
            </w:r>
            <w:r>
              <w:rPr>
                <w:color w:val="000000"/>
              </w:rPr>
              <w:br/>
              <w:t>SI036 - Posavska</w:t>
            </w:r>
            <w:r>
              <w:rPr>
                <w:color w:val="000000"/>
              </w:rPr>
              <w:br/>
              <w:t>SI037 - Jugovzhodna Slovenija</w:t>
            </w:r>
            <w:r>
              <w:rPr>
                <w:color w:val="000000"/>
              </w:rPr>
              <w:br/>
              <w:t>SI038 - Primorsko-notranjska</w:t>
            </w:r>
            <w:r>
              <w:rPr>
                <w:color w:val="000000"/>
              </w:rPr>
              <w:br/>
              <w:t>SI04 - Zahodna Slovenija</w:t>
            </w:r>
            <w:r>
              <w:rPr>
                <w:color w:val="000000"/>
              </w:rPr>
              <w:br/>
              <w:t>SI041 - Osrednjeslovenska</w:t>
            </w:r>
            <w:r>
              <w:rPr>
                <w:color w:val="000000"/>
              </w:rPr>
              <w:br/>
              <w:t>SI042 - Gorenjska</w:t>
            </w:r>
            <w:r>
              <w:rPr>
                <w:color w:val="000000"/>
              </w:rPr>
              <w:br/>
              <w:t>SI043 - Goriška</w:t>
            </w:r>
            <w:r>
              <w:rPr>
                <w:color w:val="000000"/>
              </w:rPr>
              <w:br/>
              <w:t>SI044 - Obalno-kraška</w:t>
            </w:r>
          </w:p>
        </w:tc>
      </w:tr>
      <w:tr w:rsidR="00DE13D3" w14:paraId="3176B6F2" w14:textId="77777777">
        <w:trPr>
          <w:trHeight w:val="240"/>
        </w:trPr>
        <w:tc>
          <w:tcPr>
            <w:tcW w:w="2500" w:type="pct"/>
            <w:tcMar>
              <w:left w:w="100" w:type="dxa"/>
              <w:right w:w="100" w:type="dxa"/>
            </w:tcMar>
          </w:tcPr>
          <w:p w14:paraId="6150C4E2" w14:textId="77777777" w:rsidR="00A77B3E" w:rsidRDefault="005A111E">
            <w:pPr>
              <w:rPr>
                <w:color w:val="000000"/>
              </w:rPr>
            </w:pPr>
            <w:r>
              <w:rPr>
                <w:color w:val="000000"/>
              </w:rPr>
              <w:t>Zadevni sklad (skladi)</w:t>
            </w:r>
          </w:p>
        </w:tc>
        <w:tc>
          <w:tcPr>
            <w:tcW w:w="2500" w:type="pct"/>
            <w:tcMar>
              <w:left w:w="100" w:type="dxa"/>
              <w:right w:w="100" w:type="dxa"/>
            </w:tcMar>
          </w:tcPr>
          <w:p w14:paraId="729DF96D" w14:textId="77777777" w:rsidR="00A77B3E" w:rsidRDefault="005A111E">
            <w:pPr>
              <w:rPr>
                <w:color w:val="000000"/>
              </w:rPr>
            </w:pPr>
            <w:r>
              <w:rPr>
                <w:color w:val="000000"/>
              </w:rPr>
              <w:t>ESS+</w:t>
            </w:r>
          </w:p>
        </w:tc>
      </w:tr>
      <w:tr w:rsidR="00DE13D3" w:rsidRPr="00DF1E49" w14:paraId="517427A7" w14:textId="77777777">
        <w:trPr>
          <w:trHeight w:val="240"/>
        </w:trPr>
        <w:tc>
          <w:tcPr>
            <w:tcW w:w="2500" w:type="pct"/>
            <w:tcMar>
              <w:left w:w="100" w:type="dxa"/>
              <w:right w:w="100" w:type="dxa"/>
            </w:tcMar>
          </w:tcPr>
          <w:p w14:paraId="32552E91" w14:textId="77777777" w:rsidR="00A77B3E" w:rsidRDefault="005A111E">
            <w:pPr>
              <w:rPr>
                <w:color w:val="000000"/>
              </w:rPr>
            </w:pPr>
            <w:r>
              <w:rPr>
                <w:color w:val="000000"/>
              </w:rPr>
              <w:t>Program</w:t>
            </w:r>
          </w:p>
        </w:tc>
        <w:tc>
          <w:tcPr>
            <w:tcW w:w="2500" w:type="pct"/>
            <w:tcMar>
              <w:left w:w="100" w:type="dxa"/>
              <w:right w:w="100" w:type="dxa"/>
            </w:tcMar>
          </w:tcPr>
          <w:p w14:paraId="08E8438D" w14:textId="77777777" w:rsidR="00A77B3E" w:rsidRPr="00DF1E49" w:rsidRDefault="005A111E">
            <w:pPr>
              <w:rPr>
                <w:color w:val="000000"/>
                <w:lang w:val="it-IT"/>
              </w:rPr>
            </w:pPr>
            <w:r>
              <w:rPr>
                <w:color w:val="000000"/>
              </w:rPr>
              <w:fldChar w:fldCharType="begin">
                <w:ffData>
                  <w:name w:val=""/>
                  <w:enabled/>
                  <w:calcOnExit w:val="0"/>
                  <w:checkBox>
                    <w:size w:val="20"/>
                    <w:default w:val="0"/>
                    <w:checked w:val="0"/>
                  </w:checkBox>
                </w:ffData>
              </w:fldChar>
            </w:r>
            <w:r w:rsidRPr="00DF1E49">
              <w:rPr>
                <w:color w:val="000000"/>
                <w:lang w:val="it-IT"/>
              </w:rPr>
              <w:instrText xml:space="preserve"> FORMCHECKBOX </w:instrText>
            </w:r>
            <w:r w:rsidR="00000000">
              <w:rPr>
                <w:color w:val="000000"/>
              </w:rPr>
            </w:r>
            <w:r w:rsidR="00000000">
              <w:rPr>
                <w:color w:val="000000"/>
              </w:rPr>
              <w:fldChar w:fldCharType="separate"/>
            </w:r>
            <w:r>
              <w:rPr>
                <w:color w:val="000000"/>
              </w:rPr>
              <w:fldChar w:fldCharType="end"/>
            </w:r>
            <w:r w:rsidRPr="00DF1E49">
              <w:rPr>
                <w:color w:val="000000"/>
                <w:lang w:val="it-IT"/>
              </w:rPr>
              <w:t xml:space="preserve">  v okviru cilja „naložbe za delovna mesta in rast“ samo za najbolj oddaljene regije</w:t>
            </w:r>
          </w:p>
        </w:tc>
      </w:tr>
    </w:tbl>
    <w:p w14:paraId="70220AAE" w14:textId="77777777" w:rsidR="00A77B3E" w:rsidRDefault="005A111E">
      <w:pPr>
        <w:jc w:val="center"/>
        <w:rPr>
          <w:b/>
          <w:color w:val="000000"/>
        </w:rPr>
      </w:pPr>
      <w:r w:rsidRPr="00DF1E49">
        <w:rPr>
          <w:color w:val="000000"/>
          <w:lang w:val="it-IT"/>
        </w:rPr>
        <w:br w:type="page"/>
      </w:r>
      <w:r>
        <w:rPr>
          <w:b/>
          <w:color w:val="000000"/>
        </w:rPr>
        <w:lastRenderedPageBreak/>
        <w:t>Kazalo</w:t>
      </w:r>
    </w:p>
    <w:p w14:paraId="6500AD52" w14:textId="77777777" w:rsidR="00A77B3E" w:rsidRDefault="00A77B3E">
      <w:pPr>
        <w:jc w:val="center"/>
        <w:rPr>
          <w:color w:val="000000"/>
        </w:rPr>
      </w:pPr>
    </w:p>
    <w:p w14:paraId="66060338" w14:textId="77777777" w:rsidR="00DE13D3" w:rsidRDefault="005A111E">
      <w:pPr>
        <w:pStyle w:val="Kazalovsebine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059" w:history="1">
        <w:r w:rsidR="00A77B3E">
          <w:rPr>
            <w:rStyle w:val="Hiperpovezava"/>
          </w:rPr>
          <w:t>1. Strategija programa: glavni izzivi in odzivi politik</w:t>
        </w:r>
        <w:r>
          <w:tab/>
        </w:r>
        <w:r>
          <w:fldChar w:fldCharType="begin"/>
        </w:r>
        <w:r>
          <w:instrText xml:space="preserve"> PAGEREF _Toc256000059 \h </w:instrText>
        </w:r>
        <w:r>
          <w:fldChar w:fldCharType="separate"/>
        </w:r>
        <w:r>
          <w:t>4</w:t>
        </w:r>
        <w:r>
          <w:fldChar w:fldCharType="end"/>
        </w:r>
      </w:hyperlink>
    </w:p>
    <w:p w14:paraId="0FB672C8" w14:textId="77777777" w:rsidR="00DE13D3" w:rsidRDefault="00000000">
      <w:pPr>
        <w:pStyle w:val="Kazalovsebine2"/>
        <w:tabs>
          <w:tab w:val="right" w:leader="dot" w:pos="10240"/>
        </w:tabs>
        <w:rPr>
          <w:rFonts w:ascii="Calibri" w:hAnsi="Calibri"/>
          <w:sz w:val="22"/>
        </w:rPr>
      </w:pPr>
      <w:hyperlink w:anchor="_Toc256000060" w:history="1">
        <w:r w:rsidR="00A77B3E">
          <w:rPr>
            <w:rStyle w:val="Hiperpovezava"/>
          </w:rPr>
          <w:t>Tabela 1</w:t>
        </w:r>
        <w:r w:rsidR="005A111E">
          <w:tab/>
        </w:r>
        <w:r w:rsidR="005A111E">
          <w:fldChar w:fldCharType="begin"/>
        </w:r>
        <w:r w:rsidR="005A111E">
          <w:instrText xml:space="preserve"> PAGEREF _Toc256000060 \h </w:instrText>
        </w:r>
        <w:r w:rsidR="005A111E">
          <w:fldChar w:fldCharType="separate"/>
        </w:r>
        <w:r w:rsidR="005A111E">
          <w:t>10</w:t>
        </w:r>
        <w:r w:rsidR="005A111E">
          <w:fldChar w:fldCharType="end"/>
        </w:r>
      </w:hyperlink>
    </w:p>
    <w:p w14:paraId="655E2AA9" w14:textId="77777777" w:rsidR="00DE13D3" w:rsidRDefault="00000000">
      <w:pPr>
        <w:pStyle w:val="Kazalovsebine1"/>
        <w:tabs>
          <w:tab w:val="right" w:leader="dot" w:pos="10240"/>
        </w:tabs>
        <w:rPr>
          <w:rFonts w:ascii="Calibri" w:hAnsi="Calibri"/>
          <w:sz w:val="22"/>
        </w:rPr>
      </w:pPr>
      <w:hyperlink w:anchor="_Toc256000061" w:history="1">
        <w:r w:rsidR="00A77B3E">
          <w:rPr>
            <w:rStyle w:val="Hiperpovezava"/>
          </w:rPr>
          <w:t>2. Prednostne naloge</w:t>
        </w:r>
        <w:r w:rsidR="005A111E">
          <w:tab/>
        </w:r>
        <w:r w:rsidR="005A111E">
          <w:fldChar w:fldCharType="begin"/>
        </w:r>
        <w:r w:rsidR="005A111E">
          <w:instrText xml:space="preserve"> PAGEREF _Toc256000061 \h </w:instrText>
        </w:r>
        <w:r w:rsidR="005A111E">
          <w:fldChar w:fldCharType="separate"/>
        </w:r>
        <w:r w:rsidR="005A111E">
          <w:t>12</w:t>
        </w:r>
        <w:r w:rsidR="005A111E">
          <w:fldChar w:fldCharType="end"/>
        </w:r>
      </w:hyperlink>
    </w:p>
    <w:p w14:paraId="68978496" w14:textId="77777777" w:rsidR="00DE13D3" w:rsidRDefault="00000000">
      <w:pPr>
        <w:pStyle w:val="Kazalovsebine2"/>
        <w:tabs>
          <w:tab w:val="right" w:leader="dot" w:pos="10240"/>
        </w:tabs>
        <w:rPr>
          <w:rFonts w:ascii="Calibri" w:hAnsi="Calibri"/>
          <w:sz w:val="22"/>
        </w:rPr>
      </w:pPr>
      <w:hyperlink w:anchor="_Toc256000062" w:history="1">
        <w:r w:rsidR="00A77B3E">
          <w:rPr>
            <w:rStyle w:val="Hiperpovezava"/>
          </w:rPr>
          <w:t>2.1. Prednostne naloge, razen tehnične pomoči</w:t>
        </w:r>
        <w:r w:rsidR="005A111E">
          <w:tab/>
        </w:r>
        <w:r w:rsidR="005A111E">
          <w:fldChar w:fldCharType="begin"/>
        </w:r>
        <w:r w:rsidR="005A111E">
          <w:instrText xml:space="preserve"> PAGEREF _Toc256000062 \h </w:instrText>
        </w:r>
        <w:r w:rsidR="005A111E">
          <w:fldChar w:fldCharType="separate"/>
        </w:r>
        <w:r w:rsidR="005A111E">
          <w:t>12</w:t>
        </w:r>
        <w:r w:rsidR="005A111E">
          <w:fldChar w:fldCharType="end"/>
        </w:r>
      </w:hyperlink>
    </w:p>
    <w:p w14:paraId="17C65D9D" w14:textId="77777777" w:rsidR="00DE13D3" w:rsidRDefault="00000000">
      <w:pPr>
        <w:pStyle w:val="Kazalovsebine3"/>
        <w:tabs>
          <w:tab w:val="right" w:leader="dot" w:pos="10240"/>
        </w:tabs>
        <w:rPr>
          <w:rFonts w:ascii="Calibri" w:hAnsi="Calibri"/>
          <w:sz w:val="22"/>
        </w:rPr>
      </w:pPr>
      <w:hyperlink w:anchor="_Toc256000063" w:history="1">
        <w:r w:rsidR="00A77B3E">
          <w:rPr>
            <w:rStyle w:val="Hiperpovezava"/>
          </w:rPr>
          <w:t>2.1.1. Prednostna naloga: 1. Odpravljanje materialne prikrajšanosti (Podpora najbolj ogroženim v okviru specifičnega cilja iz člena 4(1)(m) uredbe o ESS+ (ESO.4.13))</w:t>
        </w:r>
        <w:r w:rsidR="005A111E">
          <w:tab/>
        </w:r>
        <w:r w:rsidR="005A111E">
          <w:fldChar w:fldCharType="begin"/>
        </w:r>
        <w:r w:rsidR="005A111E">
          <w:instrText xml:space="preserve"> PAGEREF _Toc256000063 \h </w:instrText>
        </w:r>
        <w:r w:rsidR="005A111E">
          <w:fldChar w:fldCharType="separate"/>
        </w:r>
        <w:r w:rsidR="005A111E">
          <w:t>12</w:t>
        </w:r>
        <w:r w:rsidR="005A111E">
          <w:fldChar w:fldCharType="end"/>
        </w:r>
      </w:hyperlink>
    </w:p>
    <w:p w14:paraId="300211D3" w14:textId="77777777" w:rsidR="00DE13D3" w:rsidRDefault="00000000">
      <w:pPr>
        <w:pStyle w:val="Kazalovsebine4"/>
        <w:tabs>
          <w:tab w:val="right" w:leader="dot" w:pos="10240"/>
        </w:tabs>
        <w:rPr>
          <w:rFonts w:ascii="Calibri" w:hAnsi="Calibri"/>
          <w:sz w:val="22"/>
        </w:rPr>
      </w:pPr>
      <w:hyperlink w:anchor="_Toc256000064" w:history="1">
        <w:r w:rsidR="00A77B3E">
          <w:rPr>
            <w:rStyle w:val="Hiperpovezava"/>
          </w:rPr>
          <w:t>2.1.1.2. Specifični cilj: ESO4.13. Odpravljanje materialne prikrajšanosti</w:t>
        </w:r>
        <w:r w:rsidR="005A111E">
          <w:tab/>
        </w:r>
        <w:r w:rsidR="005A111E">
          <w:fldChar w:fldCharType="begin"/>
        </w:r>
        <w:r w:rsidR="005A111E">
          <w:instrText xml:space="preserve"> PAGEREF _Toc256000064 \h </w:instrText>
        </w:r>
        <w:r w:rsidR="005A111E">
          <w:fldChar w:fldCharType="separate"/>
        </w:r>
        <w:r w:rsidR="005A111E">
          <w:t>12</w:t>
        </w:r>
        <w:r w:rsidR="005A111E">
          <w:fldChar w:fldCharType="end"/>
        </w:r>
      </w:hyperlink>
    </w:p>
    <w:p w14:paraId="5A72918F" w14:textId="77777777" w:rsidR="00DE13D3" w:rsidRDefault="00000000">
      <w:pPr>
        <w:pStyle w:val="Kazalovsebine4"/>
        <w:tabs>
          <w:tab w:val="right" w:leader="dot" w:pos="10240"/>
        </w:tabs>
        <w:rPr>
          <w:rFonts w:ascii="Calibri" w:hAnsi="Calibri"/>
          <w:sz w:val="22"/>
        </w:rPr>
      </w:pPr>
      <w:hyperlink w:anchor="_Toc256000065" w:history="1">
        <w:r w:rsidR="00A77B3E">
          <w:rPr>
            <w:rStyle w:val="Hiperpovezava"/>
          </w:rPr>
          <w:t>2.1.1.2.1. Ukrepi skladov</w:t>
        </w:r>
        <w:r w:rsidR="005A111E">
          <w:tab/>
        </w:r>
        <w:r w:rsidR="005A111E">
          <w:fldChar w:fldCharType="begin"/>
        </w:r>
        <w:r w:rsidR="005A111E">
          <w:instrText xml:space="preserve"> PAGEREF _Toc256000065 \h </w:instrText>
        </w:r>
        <w:r w:rsidR="005A111E">
          <w:fldChar w:fldCharType="separate"/>
        </w:r>
        <w:r w:rsidR="005A111E">
          <w:t>12</w:t>
        </w:r>
        <w:r w:rsidR="005A111E">
          <w:fldChar w:fldCharType="end"/>
        </w:r>
      </w:hyperlink>
    </w:p>
    <w:p w14:paraId="784706D8" w14:textId="77777777" w:rsidR="00DE13D3" w:rsidRDefault="00000000">
      <w:pPr>
        <w:pStyle w:val="Kazalovsebine5"/>
        <w:tabs>
          <w:tab w:val="right" w:leader="dot" w:pos="10240"/>
        </w:tabs>
        <w:rPr>
          <w:rFonts w:ascii="Calibri" w:hAnsi="Calibri"/>
          <w:sz w:val="22"/>
        </w:rPr>
      </w:pPr>
      <w:hyperlink w:anchor="_Toc256000066" w:history="1">
        <w:r w:rsidR="00A77B3E">
          <w:rPr>
            <w:rStyle w:val="Hiperpovezava"/>
          </w:rPr>
          <w:t>Vrste podpore</w:t>
        </w:r>
        <w:r w:rsidR="005A111E">
          <w:tab/>
        </w:r>
        <w:r w:rsidR="005A111E">
          <w:fldChar w:fldCharType="begin"/>
        </w:r>
        <w:r w:rsidR="005A111E">
          <w:instrText xml:space="preserve"> PAGEREF _Toc256000066 \h </w:instrText>
        </w:r>
        <w:r w:rsidR="005A111E">
          <w:fldChar w:fldCharType="separate"/>
        </w:r>
        <w:r w:rsidR="005A111E">
          <w:t>12</w:t>
        </w:r>
        <w:r w:rsidR="005A111E">
          <w:fldChar w:fldCharType="end"/>
        </w:r>
      </w:hyperlink>
    </w:p>
    <w:p w14:paraId="57DE7BE3" w14:textId="77777777" w:rsidR="00DE13D3" w:rsidRDefault="00000000">
      <w:pPr>
        <w:pStyle w:val="Kazalovsebine5"/>
        <w:tabs>
          <w:tab w:val="right" w:leader="dot" w:pos="10240"/>
        </w:tabs>
        <w:rPr>
          <w:rFonts w:ascii="Calibri" w:hAnsi="Calibri"/>
          <w:sz w:val="22"/>
        </w:rPr>
      </w:pPr>
      <w:hyperlink w:anchor="_Toc256000067" w:history="1">
        <w:r w:rsidR="00A77B3E">
          <w:rPr>
            <w:rStyle w:val="Hiperpovezava"/>
          </w:rPr>
          <w:t>Glavne ciljne skupine</w:t>
        </w:r>
        <w:r w:rsidR="005A111E">
          <w:tab/>
        </w:r>
        <w:r w:rsidR="005A111E">
          <w:fldChar w:fldCharType="begin"/>
        </w:r>
        <w:r w:rsidR="005A111E">
          <w:instrText xml:space="preserve"> PAGEREF _Toc256000067 \h </w:instrText>
        </w:r>
        <w:r w:rsidR="005A111E">
          <w:fldChar w:fldCharType="separate"/>
        </w:r>
        <w:r w:rsidR="005A111E">
          <w:t>13</w:t>
        </w:r>
        <w:r w:rsidR="005A111E">
          <w:fldChar w:fldCharType="end"/>
        </w:r>
      </w:hyperlink>
    </w:p>
    <w:p w14:paraId="0D439134" w14:textId="77777777" w:rsidR="00DE13D3" w:rsidRDefault="00000000">
      <w:pPr>
        <w:pStyle w:val="Kazalovsebine5"/>
        <w:tabs>
          <w:tab w:val="right" w:leader="dot" w:pos="10240"/>
        </w:tabs>
        <w:rPr>
          <w:rFonts w:ascii="Calibri" w:hAnsi="Calibri"/>
          <w:sz w:val="22"/>
        </w:rPr>
      </w:pPr>
      <w:hyperlink w:anchor="_Toc256000068" w:history="1">
        <w:r w:rsidR="00A77B3E">
          <w:rPr>
            <w:rStyle w:val="Hiperpovezava"/>
          </w:rPr>
          <w:t>Opis nacionalnih ali regionalnih podpornih shem</w:t>
        </w:r>
        <w:r w:rsidR="005A111E">
          <w:tab/>
        </w:r>
        <w:r w:rsidR="005A111E">
          <w:fldChar w:fldCharType="begin"/>
        </w:r>
        <w:r w:rsidR="005A111E">
          <w:instrText xml:space="preserve"> PAGEREF _Toc256000068 \h </w:instrText>
        </w:r>
        <w:r w:rsidR="005A111E">
          <w:fldChar w:fldCharType="separate"/>
        </w:r>
        <w:r w:rsidR="005A111E">
          <w:t>14</w:t>
        </w:r>
        <w:r w:rsidR="005A111E">
          <w:fldChar w:fldCharType="end"/>
        </w:r>
      </w:hyperlink>
    </w:p>
    <w:p w14:paraId="74263448" w14:textId="77777777" w:rsidR="00DE13D3" w:rsidRDefault="00000000">
      <w:pPr>
        <w:pStyle w:val="Kazalovsebine5"/>
        <w:tabs>
          <w:tab w:val="right" w:leader="dot" w:pos="10240"/>
        </w:tabs>
        <w:rPr>
          <w:rFonts w:ascii="Calibri" w:hAnsi="Calibri"/>
          <w:sz w:val="22"/>
        </w:rPr>
      </w:pPr>
      <w:hyperlink w:anchor="_Toc256000069" w:history="1">
        <w:r w:rsidR="00A77B3E">
          <w:rPr>
            <w:rStyle w:val="Hiperpovezava"/>
          </w:rPr>
          <w:t>Merila za izbor operacij</w:t>
        </w:r>
        <w:r w:rsidR="005A111E">
          <w:tab/>
        </w:r>
        <w:r w:rsidR="005A111E">
          <w:fldChar w:fldCharType="begin"/>
        </w:r>
        <w:r w:rsidR="005A111E">
          <w:instrText xml:space="preserve"> PAGEREF _Toc256000069 \h </w:instrText>
        </w:r>
        <w:r w:rsidR="005A111E">
          <w:fldChar w:fldCharType="separate"/>
        </w:r>
        <w:r w:rsidR="005A111E">
          <w:t>14</w:t>
        </w:r>
        <w:r w:rsidR="005A111E">
          <w:fldChar w:fldCharType="end"/>
        </w:r>
      </w:hyperlink>
    </w:p>
    <w:p w14:paraId="78B0976D" w14:textId="77777777" w:rsidR="00DE13D3" w:rsidRDefault="00000000">
      <w:pPr>
        <w:pStyle w:val="Kazalovsebine4"/>
        <w:tabs>
          <w:tab w:val="right" w:leader="dot" w:pos="10240"/>
        </w:tabs>
        <w:rPr>
          <w:rFonts w:ascii="Calibri" w:hAnsi="Calibri"/>
          <w:sz w:val="22"/>
        </w:rPr>
      </w:pPr>
      <w:hyperlink w:anchor="_Toc256000070" w:history="1">
        <w:r w:rsidR="00A77B3E">
          <w:rPr>
            <w:rStyle w:val="Hiperpovezava"/>
          </w:rPr>
          <w:t>2.1.1.2.2. Kazalniki</w:t>
        </w:r>
        <w:r w:rsidR="005A111E">
          <w:tab/>
        </w:r>
        <w:r w:rsidR="005A111E">
          <w:fldChar w:fldCharType="begin"/>
        </w:r>
        <w:r w:rsidR="005A111E">
          <w:instrText xml:space="preserve"> PAGEREF _Toc256000070 \h </w:instrText>
        </w:r>
        <w:r w:rsidR="005A111E">
          <w:fldChar w:fldCharType="separate"/>
        </w:r>
        <w:r w:rsidR="005A111E">
          <w:t>16</w:t>
        </w:r>
        <w:r w:rsidR="005A111E">
          <w:fldChar w:fldCharType="end"/>
        </w:r>
      </w:hyperlink>
    </w:p>
    <w:p w14:paraId="29AE38BE" w14:textId="77777777" w:rsidR="00DE13D3" w:rsidRDefault="00000000">
      <w:pPr>
        <w:pStyle w:val="Kazalovsebine5"/>
        <w:tabs>
          <w:tab w:val="right" w:leader="dot" w:pos="10240"/>
        </w:tabs>
        <w:rPr>
          <w:rFonts w:ascii="Calibri" w:hAnsi="Calibri"/>
          <w:sz w:val="22"/>
        </w:rPr>
      </w:pPr>
      <w:hyperlink w:anchor="_Toc256000071" w:history="1">
        <w:r w:rsidR="00A77B3E">
          <w:rPr>
            <w:rStyle w:val="Hiperpovezava"/>
          </w:rPr>
          <w:t>Tabela 2: Kazalniki učinka</w:t>
        </w:r>
        <w:r w:rsidR="005A111E">
          <w:tab/>
        </w:r>
        <w:r w:rsidR="005A111E">
          <w:fldChar w:fldCharType="begin"/>
        </w:r>
        <w:r w:rsidR="005A111E">
          <w:instrText xml:space="preserve"> PAGEREF _Toc256000071 \h </w:instrText>
        </w:r>
        <w:r w:rsidR="005A111E">
          <w:fldChar w:fldCharType="separate"/>
        </w:r>
        <w:r w:rsidR="005A111E">
          <w:t>16</w:t>
        </w:r>
        <w:r w:rsidR="005A111E">
          <w:fldChar w:fldCharType="end"/>
        </w:r>
      </w:hyperlink>
    </w:p>
    <w:p w14:paraId="1BC3AC83" w14:textId="77777777" w:rsidR="00DE13D3" w:rsidRDefault="00000000">
      <w:pPr>
        <w:pStyle w:val="Kazalovsebine5"/>
        <w:tabs>
          <w:tab w:val="right" w:leader="dot" w:pos="10240"/>
        </w:tabs>
        <w:rPr>
          <w:rFonts w:ascii="Calibri" w:hAnsi="Calibri"/>
          <w:sz w:val="22"/>
        </w:rPr>
      </w:pPr>
      <w:hyperlink w:anchor="_Toc256000072" w:history="1">
        <w:r w:rsidR="00A77B3E">
          <w:rPr>
            <w:rStyle w:val="Hiperpovezava"/>
          </w:rPr>
          <w:t>Tabela 3: Kazalniki rezultatov</w:t>
        </w:r>
        <w:r w:rsidR="005A111E">
          <w:tab/>
        </w:r>
        <w:r w:rsidR="005A111E">
          <w:fldChar w:fldCharType="begin"/>
        </w:r>
        <w:r w:rsidR="005A111E">
          <w:instrText xml:space="preserve"> PAGEREF _Toc256000072 \h </w:instrText>
        </w:r>
        <w:r w:rsidR="005A111E">
          <w:fldChar w:fldCharType="separate"/>
        </w:r>
        <w:r w:rsidR="005A111E">
          <w:t>16</w:t>
        </w:r>
        <w:r w:rsidR="005A111E">
          <w:fldChar w:fldCharType="end"/>
        </w:r>
      </w:hyperlink>
    </w:p>
    <w:p w14:paraId="3CBDEF1D" w14:textId="77777777" w:rsidR="00DE13D3" w:rsidRDefault="00000000">
      <w:pPr>
        <w:pStyle w:val="Kazalovsebine2"/>
        <w:tabs>
          <w:tab w:val="right" w:leader="dot" w:pos="10240"/>
        </w:tabs>
        <w:rPr>
          <w:rFonts w:ascii="Calibri" w:hAnsi="Calibri"/>
          <w:sz w:val="22"/>
        </w:rPr>
      </w:pPr>
      <w:hyperlink w:anchor="_Toc256000073" w:history="1">
        <w:r w:rsidR="00A77B3E">
          <w:rPr>
            <w:rStyle w:val="Hiperpovezava"/>
          </w:rPr>
          <w:t>2.2. Prednostne naloge za tehnično pomoč</w:t>
        </w:r>
        <w:r w:rsidR="005A111E">
          <w:tab/>
        </w:r>
        <w:r w:rsidR="005A111E">
          <w:fldChar w:fldCharType="begin"/>
        </w:r>
        <w:r w:rsidR="005A111E">
          <w:instrText xml:space="preserve"> PAGEREF _Toc256000073 \h </w:instrText>
        </w:r>
        <w:r w:rsidR="005A111E">
          <w:fldChar w:fldCharType="separate"/>
        </w:r>
        <w:r w:rsidR="005A111E">
          <w:t>18</w:t>
        </w:r>
        <w:r w:rsidR="005A111E">
          <w:fldChar w:fldCharType="end"/>
        </w:r>
      </w:hyperlink>
    </w:p>
    <w:p w14:paraId="5D8AF6FD" w14:textId="77777777" w:rsidR="00DE13D3" w:rsidRDefault="00000000">
      <w:pPr>
        <w:pStyle w:val="Kazalovsebine1"/>
        <w:tabs>
          <w:tab w:val="right" w:leader="dot" w:pos="10240"/>
        </w:tabs>
        <w:rPr>
          <w:rFonts w:ascii="Calibri" w:hAnsi="Calibri"/>
          <w:sz w:val="22"/>
        </w:rPr>
      </w:pPr>
      <w:hyperlink w:anchor="_Toc256000074" w:history="1">
        <w:r w:rsidR="00A77B3E">
          <w:rPr>
            <w:rStyle w:val="Hiperpovezava"/>
          </w:rPr>
          <w:t>3. Načrt financiranja</w:t>
        </w:r>
        <w:r w:rsidR="005A111E">
          <w:tab/>
        </w:r>
        <w:r w:rsidR="005A111E">
          <w:fldChar w:fldCharType="begin"/>
        </w:r>
        <w:r w:rsidR="005A111E">
          <w:instrText xml:space="preserve"> PAGEREF _Toc256000074 \h </w:instrText>
        </w:r>
        <w:r w:rsidR="005A111E">
          <w:fldChar w:fldCharType="separate"/>
        </w:r>
        <w:r w:rsidR="005A111E">
          <w:t>19</w:t>
        </w:r>
        <w:r w:rsidR="005A111E">
          <w:fldChar w:fldCharType="end"/>
        </w:r>
      </w:hyperlink>
    </w:p>
    <w:p w14:paraId="37321E61" w14:textId="77777777" w:rsidR="00DE13D3" w:rsidRDefault="00000000">
      <w:pPr>
        <w:pStyle w:val="Kazalovsebine2"/>
        <w:tabs>
          <w:tab w:val="right" w:leader="dot" w:pos="10240"/>
        </w:tabs>
        <w:rPr>
          <w:rFonts w:ascii="Calibri" w:hAnsi="Calibri"/>
          <w:sz w:val="22"/>
        </w:rPr>
      </w:pPr>
      <w:hyperlink w:anchor="_Toc256000075" w:history="1">
        <w:r w:rsidR="00A77B3E">
          <w:rPr>
            <w:rStyle w:val="Hiperpovezava"/>
          </w:rPr>
          <w:t>3.1. Prerazporeditve in prispevki (1)</w:t>
        </w:r>
        <w:r w:rsidR="005A111E">
          <w:tab/>
        </w:r>
        <w:r w:rsidR="005A111E">
          <w:fldChar w:fldCharType="begin"/>
        </w:r>
        <w:r w:rsidR="005A111E">
          <w:instrText xml:space="preserve"> PAGEREF _Toc256000075 \h </w:instrText>
        </w:r>
        <w:r w:rsidR="005A111E">
          <w:fldChar w:fldCharType="separate"/>
        </w:r>
        <w:r w:rsidR="005A111E">
          <w:t>19</w:t>
        </w:r>
        <w:r w:rsidR="005A111E">
          <w:fldChar w:fldCharType="end"/>
        </w:r>
      </w:hyperlink>
    </w:p>
    <w:p w14:paraId="18C43A3F" w14:textId="77777777" w:rsidR="00DE13D3" w:rsidRDefault="00000000">
      <w:pPr>
        <w:pStyle w:val="Kazalovsebine4"/>
        <w:tabs>
          <w:tab w:val="right" w:leader="dot" w:pos="10240"/>
        </w:tabs>
        <w:rPr>
          <w:rFonts w:ascii="Calibri" w:hAnsi="Calibri"/>
          <w:sz w:val="22"/>
        </w:rPr>
      </w:pPr>
      <w:hyperlink w:anchor="_Toc256000076" w:history="1">
        <w:r w:rsidR="00A77B3E">
          <w:rPr>
            <w:rStyle w:val="Hiperpovezava"/>
          </w:rPr>
          <w:t>Tabela 15A: Prispevki v InvestEU* (razčlenitev po letih)</w:t>
        </w:r>
        <w:r w:rsidR="005A111E">
          <w:tab/>
        </w:r>
        <w:r w:rsidR="005A111E">
          <w:fldChar w:fldCharType="begin"/>
        </w:r>
        <w:r w:rsidR="005A111E">
          <w:instrText xml:space="preserve"> PAGEREF _Toc256000076 \h </w:instrText>
        </w:r>
        <w:r w:rsidR="005A111E">
          <w:fldChar w:fldCharType="separate"/>
        </w:r>
        <w:r w:rsidR="005A111E">
          <w:t>19</w:t>
        </w:r>
        <w:r w:rsidR="005A111E">
          <w:fldChar w:fldCharType="end"/>
        </w:r>
      </w:hyperlink>
    </w:p>
    <w:p w14:paraId="3AFB2F8B" w14:textId="77777777" w:rsidR="00DE13D3" w:rsidRDefault="00000000">
      <w:pPr>
        <w:pStyle w:val="Kazalovsebine4"/>
        <w:tabs>
          <w:tab w:val="right" w:leader="dot" w:pos="10240"/>
        </w:tabs>
        <w:rPr>
          <w:rFonts w:ascii="Calibri" w:hAnsi="Calibri"/>
          <w:sz w:val="22"/>
        </w:rPr>
      </w:pPr>
      <w:hyperlink w:anchor="_Toc256000077" w:history="1">
        <w:r w:rsidR="00A77B3E">
          <w:rPr>
            <w:rStyle w:val="Hiperpovezava"/>
          </w:rPr>
          <w:t>Tabela 15B: Prispevki v InvestEU* (povzetek)</w:t>
        </w:r>
        <w:r w:rsidR="005A111E">
          <w:tab/>
        </w:r>
        <w:r w:rsidR="005A111E">
          <w:fldChar w:fldCharType="begin"/>
        </w:r>
        <w:r w:rsidR="005A111E">
          <w:instrText xml:space="preserve"> PAGEREF _Toc256000077 \h </w:instrText>
        </w:r>
        <w:r w:rsidR="005A111E">
          <w:fldChar w:fldCharType="separate"/>
        </w:r>
        <w:r w:rsidR="005A111E">
          <w:t>19</w:t>
        </w:r>
        <w:r w:rsidR="005A111E">
          <w:fldChar w:fldCharType="end"/>
        </w:r>
      </w:hyperlink>
    </w:p>
    <w:p w14:paraId="515BCB3A" w14:textId="77777777" w:rsidR="00DE13D3" w:rsidRDefault="00000000">
      <w:pPr>
        <w:pStyle w:val="Kazalovsebine4"/>
        <w:tabs>
          <w:tab w:val="right" w:leader="dot" w:pos="10240"/>
        </w:tabs>
        <w:rPr>
          <w:rFonts w:ascii="Calibri" w:hAnsi="Calibri"/>
          <w:sz w:val="22"/>
        </w:rPr>
      </w:pPr>
      <w:hyperlink w:anchor="_Toc256000078" w:history="1">
        <w:r w:rsidR="00A77B3E">
          <w:rPr>
            <w:rStyle w:val="Hiperpovezava"/>
          </w:rPr>
          <w:t>Utemeljitev, ob upoštevanju, kako navedeni zneski prispevajo k doseganju ciljev politike, izbranih v programu v skladu s členom 10(1) uredbe o InvestEU</w:t>
        </w:r>
        <w:r w:rsidR="005A111E">
          <w:tab/>
        </w:r>
        <w:r w:rsidR="005A111E">
          <w:fldChar w:fldCharType="begin"/>
        </w:r>
        <w:r w:rsidR="005A111E">
          <w:instrText xml:space="preserve"> PAGEREF _Toc256000078 \h </w:instrText>
        </w:r>
        <w:r w:rsidR="005A111E">
          <w:fldChar w:fldCharType="separate"/>
        </w:r>
        <w:r w:rsidR="005A111E">
          <w:t>20</w:t>
        </w:r>
        <w:r w:rsidR="005A111E">
          <w:fldChar w:fldCharType="end"/>
        </w:r>
      </w:hyperlink>
    </w:p>
    <w:p w14:paraId="499040D8" w14:textId="77777777" w:rsidR="00DE13D3" w:rsidRDefault="00000000">
      <w:pPr>
        <w:pStyle w:val="Kazalovsebine4"/>
        <w:tabs>
          <w:tab w:val="right" w:leader="dot" w:pos="10240"/>
        </w:tabs>
        <w:rPr>
          <w:rFonts w:ascii="Calibri" w:hAnsi="Calibri"/>
          <w:sz w:val="22"/>
        </w:rPr>
      </w:pPr>
      <w:hyperlink w:anchor="_Toc256000079" w:history="1">
        <w:r w:rsidR="00A77B3E">
          <w:rPr>
            <w:rStyle w:val="Hiperpovezava"/>
          </w:rPr>
          <w:t>Tabela 16A: Prerazporeditve v instrumente v okviru neposrednega ali posrednega upravljanja (razčlenitev po letih)</w:t>
        </w:r>
        <w:r w:rsidR="005A111E">
          <w:tab/>
        </w:r>
        <w:r w:rsidR="005A111E">
          <w:fldChar w:fldCharType="begin"/>
        </w:r>
        <w:r w:rsidR="005A111E">
          <w:instrText xml:space="preserve"> PAGEREF _Toc256000079 \h </w:instrText>
        </w:r>
        <w:r w:rsidR="005A111E">
          <w:fldChar w:fldCharType="separate"/>
        </w:r>
        <w:r w:rsidR="005A111E">
          <w:t>20</w:t>
        </w:r>
        <w:r w:rsidR="005A111E">
          <w:fldChar w:fldCharType="end"/>
        </w:r>
      </w:hyperlink>
    </w:p>
    <w:p w14:paraId="3E1470F7" w14:textId="77777777" w:rsidR="00DE13D3" w:rsidRDefault="00000000">
      <w:pPr>
        <w:pStyle w:val="Kazalovsebine4"/>
        <w:tabs>
          <w:tab w:val="right" w:leader="dot" w:pos="10240"/>
        </w:tabs>
        <w:rPr>
          <w:rFonts w:ascii="Calibri" w:hAnsi="Calibri"/>
          <w:sz w:val="22"/>
        </w:rPr>
      </w:pPr>
      <w:hyperlink w:anchor="_Toc256000080" w:history="1">
        <w:r w:rsidR="00A77B3E">
          <w:rPr>
            <w:rStyle w:val="Hiperpovezava"/>
          </w:rPr>
          <w:t>Tabela 16B: Prerazporeditve v instrumente v okviru neposrednega ali posrednega upravljanja* (povzetek)</w:t>
        </w:r>
        <w:r w:rsidR="005A111E">
          <w:tab/>
        </w:r>
        <w:r w:rsidR="005A111E">
          <w:fldChar w:fldCharType="begin"/>
        </w:r>
        <w:r w:rsidR="005A111E">
          <w:instrText xml:space="preserve"> PAGEREF _Toc256000080 \h </w:instrText>
        </w:r>
        <w:r w:rsidR="005A111E">
          <w:fldChar w:fldCharType="separate"/>
        </w:r>
        <w:r w:rsidR="005A111E">
          <w:t>20</w:t>
        </w:r>
        <w:r w:rsidR="005A111E">
          <w:fldChar w:fldCharType="end"/>
        </w:r>
      </w:hyperlink>
    </w:p>
    <w:p w14:paraId="313E8D0C" w14:textId="77777777" w:rsidR="00DE13D3" w:rsidRDefault="00000000">
      <w:pPr>
        <w:pStyle w:val="Kazalovsebine4"/>
        <w:tabs>
          <w:tab w:val="right" w:leader="dot" w:pos="10240"/>
        </w:tabs>
        <w:rPr>
          <w:rFonts w:ascii="Calibri" w:hAnsi="Calibri"/>
          <w:sz w:val="22"/>
        </w:rPr>
      </w:pPr>
      <w:hyperlink w:anchor="_Toc256000081" w:history="1">
        <w:r w:rsidR="00A77B3E">
          <w:rPr>
            <w:rStyle w:val="Hiperpovezava"/>
          </w:rPr>
          <w:t>Prerazporeditve v instrumente v okviru neposrednega ali posrednega upravljanja – utemeljitev</w:t>
        </w:r>
        <w:r w:rsidR="005A111E">
          <w:tab/>
        </w:r>
        <w:r w:rsidR="005A111E">
          <w:fldChar w:fldCharType="begin"/>
        </w:r>
        <w:r w:rsidR="005A111E">
          <w:instrText xml:space="preserve"> PAGEREF _Toc256000081 \h </w:instrText>
        </w:r>
        <w:r w:rsidR="005A111E">
          <w:fldChar w:fldCharType="separate"/>
        </w:r>
        <w:r w:rsidR="005A111E">
          <w:t>20</w:t>
        </w:r>
        <w:r w:rsidR="005A111E">
          <w:fldChar w:fldCharType="end"/>
        </w:r>
      </w:hyperlink>
    </w:p>
    <w:p w14:paraId="47B5CC9E" w14:textId="77777777" w:rsidR="00DE13D3" w:rsidRDefault="00000000">
      <w:pPr>
        <w:pStyle w:val="Kazalovsebine4"/>
        <w:tabs>
          <w:tab w:val="right" w:leader="dot" w:pos="10240"/>
        </w:tabs>
        <w:rPr>
          <w:rFonts w:ascii="Calibri" w:hAnsi="Calibri"/>
          <w:sz w:val="22"/>
        </w:rPr>
      </w:pPr>
      <w:hyperlink w:anchor="_Toc256000082" w:history="1">
        <w:r w:rsidR="00A77B3E">
          <w:rPr>
            <w:rStyle w:val="Hiperpovezava"/>
          </w:rPr>
          <w:t>Tabela 17A: Prerazporeditve med skladi ESRR, ESS+ in Kohezijskim skladom ali v drugi sklad ali sklade (razčlenitev po letih)</w:t>
        </w:r>
        <w:r w:rsidR="005A111E">
          <w:tab/>
        </w:r>
        <w:r w:rsidR="005A111E">
          <w:fldChar w:fldCharType="begin"/>
        </w:r>
        <w:r w:rsidR="005A111E">
          <w:instrText xml:space="preserve"> PAGEREF _Toc256000082 \h </w:instrText>
        </w:r>
        <w:r w:rsidR="005A111E">
          <w:fldChar w:fldCharType="separate"/>
        </w:r>
        <w:r w:rsidR="005A111E">
          <w:t>20</w:t>
        </w:r>
        <w:r w:rsidR="005A111E">
          <w:fldChar w:fldCharType="end"/>
        </w:r>
      </w:hyperlink>
    </w:p>
    <w:p w14:paraId="24779946" w14:textId="77777777" w:rsidR="00DE13D3" w:rsidRDefault="00000000">
      <w:pPr>
        <w:pStyle w:val="Kazalovsebine4"/>
        <w:tabs>
          <w:tab w:val="right" w:leader="dot" w:pos="10240"/>
        </w:tabs>
        <w:rPr>
          <w:rFonts w:ascii="Calibri" w:hAnsi="Calibri"/>
          <w:sz w:val="22"/>
        </w:rPr>
      </w:pPr>
      <w:hyperlink w:anchor="_Toc256000083" w:history="1">
        <w:r w:rsidR="00A77B3E">
          <w:rPr>
            <w:rStyle w:val="Hiperpovezava"/>
          </w:rPr>
          <w:t>Tabela 17B: Prerazporeditve med skladi ESRR, ESS+ in Kohezijskim skladom ali v drugi sklad ali sklade (povzetek)</w:t>
        </w:r>
        <w:r w:rsidR="005A111E">
          <w:tab/>
        </w:r>
        <w:r w:rsidR="005A111E">
          <w:fldChar w:fldCharType="begin"/>
        </w:r>
        <w:r w:rsidR="005A111E">
          <w:instrText xml:space="preserve"> PAGEREF _Toc256000083 \h </w:instrText>
        </w:r>
        <w:r w:rsidR="005A111E">
          <w:fldChar w:fldCharType="separate"/>
        </w:r>
        <w:r w:rsidR="005A111E">
          <w:t>20</w:t>
        </w:r>
        <w:r w:rsidR="005A111E">
          <w:fldChar w:fldCharType="end"/>
        </w:r>
      </w:hyperlink>
    </w:p>
    <w:p w14:paraId="1B3FDE09" w14:textId="77777777" w:rsidR="00DE13D3" w:rsidRDefault="00000000">
      <w:pPr>
        <w:pStyle w:val="Kazalovsebine4"/>
        <w:tabs>
          <w:tab w:val="right" w:leader="dot" w:pos="10240"/>
        </w:tabs>
        <w:rPr>
          <w:rFonts w:ascii="Calibri" w:hAnsi="Calibri"/>
          <w:sz w:val="22"/>
        </w:rPr>
      </w:pPr>
      <w:hyperlink w:anchor="_Toc256000084" w:history="1">
        <w:r w:rsidR="00A77B3E">
          <w:rPr>
            <w:rStyle w:val="Hiperpovezava"/>
          </w:rPr>
          <w:t>Prerazporeditve med skladi z deljenim upravljanjem, vključno med skladi kohezijske politike – utemeljitev</w:t>
        </w:r>
        <w:r w:rsidR="005A111E">
          <w:tab/>
        </w:r>
        <w:r w:rsidR="005A111E">
          <w:fldChar w:fldCharType="begin"/>
        </w:r>
        <w:r w:rsidR="005A111E">
          <w:instrText xml:space="preserve"> PAGEREF _Toc256000084 \h </w:instrText>
        </w:r>
        <w:r w:rsidR="005A111E">
          <w:fldChar w:fldCharType="separate"/>
        </w:r>
        <w:r w:rsidR="005A111E">
          <w:t>21</w:t>
        </w:r>
        <w:r w:rsidR="005A111E">
          <w:fldChar w:fldCharType="end"/>
        </w:r>
      </w:hyperlink>
    </w:p>
    <w:p w14:paraId="7C35BD4F" w14:textId="77777777" w:rsidR="00DE13D3" w:rsidRDefault="00000000">
      <w:pPr>
        <w:pStyle w:val="Kazalovsebine2"/>
        <w:tabs>
          <w:tab w:val="right" w:leader="dot" w:pos="10240"/>
        </w:tabs>
        <w:rPr>
          <w:rFonts w:ascii="Calibri" w:hAnsi="Calibri"/>
          <w:sz w:val="22"/>
        </w:rPr>
      </w:pPr>
      <w:hyperlink w:anchor="_Toc256000085" w:history="1">
        <w:r w:rsidR="00A77B3E">
          <w:rPr>
            <w:rStyle w:val="Hiperpovezava"/>
          </w:rPr>
          <w:t>3.2. SPP: dodelitev v programu in prerazporeditve (1)</w:t>
        </w:r>
        <w:r w:rsidR="005A111E">
          <w:tab/>
        </w:r>
        <w:r w:rsidR="005A111E">
          <w:fldChar w:fldCharType="begin"/>
        </w:r>
        <w:r w:rsidR="005A111E">
          <w:instrText xml:space="preserve"> PAGEREF _Toc256000085 \h </w:instrText>
        </w:r>
        <w:r w:rsidR="005A111E">
          <w:fldChar w:fldCharType="separate"/>
        </w:r>
        <w:r w:rsidR="005A111E">
          <w:t>21</w:t>
        </w:r>
        <w:r w:rsidR="005A111E">
          <w:fldChar w:fldCharType="end"/>
        </w:r>
      </w:hyperlink>
    </w:p>
    <w:p w14:paraId="34AC68D3" w14:textId="77777777" w:rsidR="00DE13D3" w:rsidRDefault="00000000">
      <w:pPr>
        <w:pStyle w:val="Kazalovsebine2"/>
        <w:tabs>
          <w:tab w:val="right" w:leader="dot" w:pos="10240"/>
        </w:tabs>
        <w:rPr>
          <w:rFonts w:ascii="Calibri" w:hAnsi="Calibri"/>
          <w:sz w:val="22"/>
        </w:rPr>
      </w:pPr>
      <w:hyperlink w:anchor="_Toc256000086" w:history="1">
        <w:r w:rsidR="00A77B3E">
          <w:rPr>
            <w:rStyle w:val="Hiperpovezava"/>
          </w:rPr>
          <w:t>3.3. Prerazporeditve med kategorijami regij na podlagi vmesnega pregleda</w:t>
        </w:r>
        <w:r w:rsidR="005A111E">
          <w:tab/>
        </w:r>
        <w:r w:rsidR="005A111E">
          <w:fldChar w:fldCharType="begin"/>
        </w:r>
        <w:r w:rsidR="005A111E">
          <w:instrText xml:space="preserve"> PAGEREF _Toc256000086 \h </w:instrText>
        </w:r>
        <w:r w:rsidR="005A111E">
          <w:fldChar w:fldCharType="separate"/>
        </w:r>
        <w:r w:rsidR="005A111E">
          <w:t>21</w:t>
        </w:r>
        <w:r w:rsidR="005A111E">
          <w:fldChar w:fldCharType="end"/>
        </w:r>
      </w:hyperlink>
    </w:p>
    <w:p w14:paraId="553E3A7F" w14:textId="77777777" w:rsidR="00DE13D3" w:rsidRDefault="00000000">
      <w:pPr>
        <w:pStyle w:val="Kazalovsebine4"/>
        <w:tabs>
          <w:tab w:val="right" w:leader="dot" w:pos="10240"/>
        </w:tabs>
        <w:rPr>
          <w:rFonts w:ascii="Calibri" w:hAnsi="Calibri"/>
          <w:sz w:val="22"/>
        </w:rPr>
      </w:pPr>
      <w:hyperlink w:anchor="_Toc256000087" w:history="1">
        <w:r w:rsidR="00A77B3E">
          <w:rPr>
            <w:rStyle w:val="Hiperpovezava"/>
          </w:rPr>
          <w:t>Tabela 19A: Prerazporeditve med kategorijami regij na podlagi vmesnega pregleda v okviru programa (razčlenitev po letih)</w:t>
        </w:r>
        <w:r w:rsidR="005A111E">
          <w:tab/>
        </w:r>
        <w:r w:rsidR="005A111E">
          <w:fldChar w:fldCharType="begin"/>
        </w:r>
        <w:r w:rsidR="005A111E">
          <w:instrText xml:space="preserve"> PAGEREF _Toc256000087 \h </w:instrText>
        </w:r>
        <w:r w:rsidR="005A111E">
          <w:fldChar w:fldCharType="separate"/>
        </w:r>
        <w:r w:rsidR="005A111E">
          <w:t>21</w:t>
        </w:r>
        <w:r w:rsidR="005A111E">
          <w:fldChar w:fldCharType="end"/>
        </w:r>
      </w:hyperlink>
    </w:p>
    <w:p w14:paraId="4F56FDCA" w14:textId="77777777" w:rsidR="00DE13D3" w:rsidRDefault="00000000">
      <w:pPr>
        <w:pStyle w:val="Kazalovsebine4"/>
        <w:tabs>
          <w:tab w:val="right" w:leader="dot" w:pos="10240"/>
        </w:tabs>
        <w:rPr>
          <w:rFonts w:ascii="Calibri" w:hAnsi="Calibri"/>
          <w:sz w:val="22"/>
        </w:rPr>
      </w:pPr>
      <w:hyperlink w:anchor="_Toc256000088" w:history="1">
        <w:r w:rsidR="00A77B3E">
          <w:rPr>
            <w:rStyle w:val="Hiperpovezava"/>
          </w:rPr>
          <w:t>Tabela 19B: Prerazporeditve med kategorijami regij na podlagi vmesnega pregleda v druge programe (razčlenitev po letih)</w:t>
        </w:r>
        <w:r w:rsidR="005A111E">
          <w:tab/>
        </w:r>
        <w:r w:rsidR="005A111E">
          <w:fldChar w:fldCharType="begin"/>
        </w:r>
        <w:r w:rsidR="005A111E">
          <w:instrText xml:space="preserve"> PAGEREF _Toc256000088 \h </w:instrText>
        </w:r>
        <w:r w:rsidR="005A111E">
          <w:fldChar w:fldCharType="separate"/>
        </w:r>
        <w:r w:rsidR="005A111E">
          <w:t>21</w:t>
        </w:r>
        <w:r w:rsidR="005A111E">
          <w:fldChar w:fldCharType="end"/>
        </w:r>
      </w:hyperlink>
    </w:p>
    <w:p w14:paraId="57531E8D" w14:textId="77777777" w:rsidR="00DE13D3" w:rsidRDefault="00000000">
      <w:pPr>
        <w:pStyle w:val="Kazalovsebine2"/>
        <w:tabs>
          <w:tab w:val="right" w:leader="dot" w:pos="10240"/>
        </w:tabs>
        <w:rPr>
          <w:rFonts w:ascii="Calibri" w:hAnsi="Calibri"/>
          <w:sz w:val="22"/>
        </w:rPr>
      </w:pPr>
      <w:hyperlink w:anchor="_Toc256000089" w:history="1">
        <w:r w:rsidR="00A77B3E">
          <w:rPr>
            <w:rStyle w:val="Hiperpovezava"/>
          </w:rPr>
          <w:t>3.4. Prerazporeditve nazaj (1)</w:t>
        </w:r>
        <w:r w:rsidR="005A111E">
          <w:tab/>
        </w:r>
        <w:r w:rsidR="005A111E">
          <w:fldChar w:fldCharType="begin"/>
        </w:r>
        <w:r w:rsidR="005A111E">
          <w:instrText xml:space="preserve"> PAGEREF _Toc256000089 \h </w:instrText>
        </w:r>
        <w:r w:rsidR="005A111E">
          <w:fldChar w:fldCharType="separate"/>
        </w:r>
        <w:r w:rsidR="005A111E">
          <w:t>22</w:t>
        </w:r>
        <w:r w:rsidR="005A111E">
          <w:fldChar w:fldCharType="end"/>
        </w:r>
      </w:hyperlink>
    </w:p>
    <w:p w14:paraId="2AC7DDD7" w14:textId="77777777" w:rsidR="00DE13D3" w:rsidRDefault="00000000">
      <w:pPr>
        <w:pStyle w:val="Kazalovsebine4"/>
        <w:tabs>
          <w:tab w:val="right" w:leader="dot" w:pos="10240"/>
        </w:tabs>
        <w:rPr>
          <w:rFonts w:ascii="Calibri" w:hAnsi="Calibri"/>
          <w:sz w:val="22"/>
        </w:rPr>
      </w:pPr>
      <w:hyperlink w:anchor="_Toc256000090" w:history="1">
        <w:r w:rsidR="00A77B3E">
          <w:rPr>
            <w:rStyle w:val="Hiperpovezava"/>
          </w:rPr>
          <w:t>Tabela 20A: Prerazporeditve nazaj (razčlenitev po letih)</w:t>
        </w:r>
        <w:r w:rsidR="005A111E">
          <w:tab/>
        </w:r>
        <w:r w:rsidR="005A111E">
          <w:fldChar w:fldCharType="begin"/>
        </w:r>
        <w:r w:rsidR="005A111E">
          <w:instrText xml:space="preserve"> PAGEREF _Toc256000090 \h </w:instrText>
        </w:r>
        <w:r w:rsidR="005A111E">
          <w:fldChar w:fldCharType="separate"/>
        </w:r>
        <w:r w:rsidR="005A111E">
          <w:t>22</w:t>
        </w:r>
        <w:r w:rsidR="005A111E">
          <w:fldChar w:fldCharType="end"/>
        </w:r>
      </w:hyperlink>
    </w:p>
    <w:p w14:paraId="50965A0B" w14:textId="77777777" w:rsidR="00DE13D3" w:rsidRDefault="00000000">
      <w:pPr>
        <w:pStyle w:val="Kazalovsebine4"/>
        <w:tabs>
          <w:tab w:val="right" w:leader="dot" w:pos="10240"/>
        </w:tabs>
        <w:rPr>
          <w:rFonts w:ascii="Calibri" w:hAnsi="Calibri"/>
          <w:sz w:val="22"/>
        </w:rPr>
      </w:pPr>
      <w:hyperlink w:anchor="_Toc256000091" w:history="1">
        <w:r w:rsidR="00A77B3E">
          <w:rPr>
            <w:rStyle w:val="Hiperpovezava"/>
          </w:rPr>
          <w:t>Tabela 20B: Prerazporeditve nazaj* (povzetek)</w:t>
        </w:r>
        <w:r w:rsidR="005A111E">
          <w:tab/>
        </w:r>
        <w:r w:rsidR="005A111E">
          <w:fldChar w:fldCharType="begin"/>
        </w:r>
        <w:r w:rsidR="005A111E">
          <w:instrText xml:space="preserve"> PAGEREF _Toc256000091 \h </w:instrText>
        </w:r>
        <w:r w:rsidR="005A111E">
          <w:fldChar w:fldCharType="separate"/>
        </w:r>
        <w:r w:rsidR="005A111E">
          <w:t>22</w:t>
        </w:r>
        <w:r w:rsidR="005A111E">
          <w:fldChar w:fldCharType="end"/>
        </w:r>
      </w:hyperlink>
    </w:p>
    <w:p w14:paraId="33094924" w14:textId="77777777" w:rsidR="00DE13D3" w:rsidRDefault="00000000">
      <w:pPr>
        <w:pStyle w:val="Kazalovsebine2"/>
        <w:tabs>
          <w:tab w:val="right" w:leader="dot" w:pos="10240"/>
        </w:tabs>
        <w:rPr>
          <w:rFonts w:ascii="Calibri" w:hAnsi="Calibri"/>
          <w:sz w:val="22"/>
        </w:rPr>
      </w:pPr>
      <w:hyperlink w:anchor="_Toc256000092" w:history="1">
        <w:r w:rsidR="00A77B3E">
          <w:rPr>
            <w:rStyle w:val="Hiperpovezava"/>
          </w:rPr>
          <w:t>3.5. Finančna sredstva po letih</w:t>
        </w:r>
        <w:r w:rsidR="005A111E">
          <w:tab/>
        </w:r>
        <w:r w:rsidR="005A111E">
          <w:fldChar w:fldCharType="begin"/>
        </w:r>
        <w:r w:rsidR="005A111E">
          <w:instrText xml:space="preserve"> PAGEREF _Toc256000092 \h </w:instrText>
        </w:r>
        <w:r w:rsidR="005A111E">
          <w:fldChar w:fldCharType="separate"/>
        </w:r>
        <w:r w:rsidR="005A111E">
          <w:t>23</w:t>
        </w:r>
        <w:r w:rsidR="005A111E">
          <w:fldChar w:fldCharType="end"/>
        </w:r>
      </w:hyperlink>
    </w:p>
    <w:p w14:paraId="0647A833" w14:textId="77777777" w:rsidR="00DE13D3" w:rsidRDefault="00000000">
      <w:pPr>
        <w:pStyle w:val="Kazalovsebine4"/>
        <w:tabs>
          <w:tab w:val="right" w:leader="dot" w:pos="10240"/>
        </w:tabs>
        <w:rPr>
          <w:rFonts w:ascii="Calibri" w:hAnsi="Calibri"/>
          <w:sz w:val="22"/>
        </w:rPr>
      </w:pPr>
      <w:hyperlink w:anchor="_Toc256000093" w:history="1">
        <w:r w:rsidR="00A77B3E">
          <w:rPr>
            <w:rStyle w:val="Hiperpovezava"/>
          </w:rPr>
          <w:t>Tabela 10: Finančna sredstva po letih</w:t>
        </w:r>
        <w:r w:rsidR="005A111E">
          <w:tab/>
        </w:r>
        <w:r w:rsidR="005A111E">
          <w:fldChar w:fldCharType="begin"/>
        </w:r>
        <w:r w:rsidR="005A111E">
          <w:instrText xml:space="preserve"> PAGEREF _Toc256000093 \h </w:instrText>
        </w:r>
        <w:r w:rsidR="005A111E">
          <w:fldChar w:fldCharType="separate"/>
        </w:r>
        <w:r w:rsidR="005A111E">
          <w:t>23</w:t>
        </w:r>
        <w:r w:rsidR="005A111E">
          <w:fldChar w:fldCharType="end"/>
        </w:r>
      </w:hyperlink>
    </w:p>
    <w:p w14:paraId="060C4FE6" w14:textId="77777777" w:rsidR="00DE13D3" w:rsidRDefault="00000000">
      <w:pPr>
        <w:pStyle w:val="Kazalovsebine2"/>
        <w:tabs>
          <w:tab w:val="right" w:leader="dot" w:pos="10240"/>
        </w:tabs>
        <w:rPr>
          <w:rFonts w:ascii="Calibri" w:hAnsi="Calibri"/>
          <w:sz w:val="22"/>
        </w:rPr>
      </w:pPr>
      <w:hyperlink w:anchor="_Toc256000094" w:history="1">
        <w:r w:rsidR="00A77B3E">
          <w:rPr>
            <w:rStyle w:val="Hiperpovezava"/>
          </w:rPr>
          <w:t>3.6. Skupna finančna sredstva po skladih in nacionalno sofinanciranje</w:t>
        </w:r>
        <w:r w:rsidR="005A111E">
          <w:tab/>
        </w:r>
        <w:r w:rsidR="005A111E">
          <w:fldChar w:fldCharType="begin"/>
        </w:r>
        <w:r w:rsidR="005A111E">
          <w:instrText xml:space="preserve"> PAGEREF _Toc256000094 \h </w:instrText>
        </w:r>
        <w:r w:rsidR="005A111E">
          <w:fldChar w:fldCharType="separate"/>
        </w:r>
        <w:r w:rsidR="005A111E">
          <w:t>24</w:t>
        </w:r>
        <w:r w:rsidR="005A111E">
          <w:fldChar w:fldCharType="end"/>
        </w:r>
      </w:hyperlink>
    </w:p>
    <w:p w14:paraId="2161D3D8" w14:textId="77777777" w:rsidR="00DE13D3" w:rsidRDefault="00000000">
      <w:pPr>
        <w:pStyle w:val="Kazalovsebine4"/>
        <w:tabs>
          <w:tab w:val="right" w:leader="dot" w:pos="10240"/>
        </w:tabs>
        <w:rPr>
          <w:rFonts w:ascii="Calibri" w:hAnsi="Calibri"/>
          <w:sz w:val="22"/>
        </w:rPr>
      </w:pPr>
      <w:hyperlink w:anchor="_Toc256000095" w:history="1">
        <w:r w:rsidR="00A77B3E">
          <w:rPr>
            <w:rStyle w:val="Hiperpovezava"/>
          </w:rPr>
          <w:t>Tabela 11: Skupne finančne dodelitve po skladih in nacionalni prispevek</w:t>
        </w:r>
        <w:r w:rsidR="005A111E">
          <w:tab/>
        </w:r>
        <w:r w:rsidR="005A111E">
          <w:fldChar w:fldCharType="begin"/>
        </w:r>
        <w:r w:rsidR="005A111E">
          <w:instrText xml:space="preserve"> PAGEREF _Toc256000095 \h </w:instrText>
        </w:r>
        <w:r w:rsidR="005A111E">
          <w:fldChar w:fldCharType="separate"/>
        </w:r>
        <w:r w:rsidR="005A111E">
          <w:t>24</w:t>
        </w:r>
        <w:r w:rsidR="005A111E">
          <w:fldChar w:fldCharType="end"/>
        </w:r>
      </w:hyperlink>
    </w:p>
    <w:p w14:paraId="4108BC2B" w14:textId="77777777" w:rsidR="00DE13D3" w:rsidRDefault="00000000">
      <w:pPr>
        <w:pStyle w:val="Kazalovsebine1"/>
        <w:tabs>
          <w:tab w:val="right" w:leader="dot" w:pos="10240"/>
        </w:tabs>
        <w:rPr>
          <w:rFonts w:ascii="Calibri" w:hAnsi="Calibri"/>
          <w:sz w:val="22"/>
        </w:rPr>
      </w:pPr>
      <w:hyperlink w:anchor="_Toc256000096" w:history="1">
        <w:r w:rsidR="00A77B3E">
          <w:rPr>
            <w:rStyle w:val="Hiperpovezava"/>
          </w:rPr>
          <w:t>4. Omogočitveni pogoji</w:t>
        </w:r>
        <w:r w:rsidR="005A111E">
          <w:tab/>
        </w:r>
        <w:r w:rsidR="005A111E">
          <w:fldChar w:fldCharType="begin"/>
        </w:r>
        <w:r w:rsidR="005A111E">
          <w:instrText xml:space="preserve"> PAGEREF _Toc256000096 \h </w:instrText>
        </w:r>
        <w:r w:rsidR="005A111E">
          <w:fldChar w:fldCharType="separate"/>
        </w:r>
        <w:r w:rsidR="005A111E">
          <w:t>25</w:t>
        </w:r>
        <w:r w:rsidR="005A111E">
          <w:fldChar w:fldCharType="end"/>
        </w:r>
      </w:hyperlink>
    </w:p>
    <w:p w14:paraId="07278807" w14:textId="77777777" w:rsidR="00DE13D3" w:rsidRDefault="00000000">
      <w:pPr>
        <w:pStyle w:val="Kazalovsebine1"/>
        <w:tabs>
          <w:tab w:val="right" w:leader="dot" w:pos="10240"/>
        </w:tabs>
        <w:rPr>
          <w:rFonts w:ascii="Calibri" w:hAnsi="Calibri"/>
          <w:sz w:val="22"/>
        </w:rPr>
      </w:pPr>
      <w:hyperlink w:anchor="_Toc256000097" w:history="1">
        <w:r w:rsidR="00A77B3E">
          <w:rPr>
            <w:rStyle w:val="Hiperpovezava"/>
          </w:rPr>
          <w:t>5. Organi, pristojni za program</w:t>
        </w:r>
        <w:r w:rsidR="005A111E">
          <w:tab/>
        </w:r>
        <w:r w:rsidR="005A111E">
          <w:fldChar w:fldCharType="begin"/>
        </w:r>
        <w:r w:rsidR="005A111E">
          <w:instrText xml:space="preserve"> PAGEREF _Toc256000097 \h </w:instrText>
        </w:r>
        <w:r w:rsidR="005A111E">
          <w:fldChar w:fldCharType="separate"/>
        </w:r>
        <w:r w:rsidR="005A111E">
          <w:t>34</w:t>
        </w:r>
        <w:r w:rsidR="005A111E">
          <w:fldChar w:fldCharType="end"/>
        </w:r>
      </w:hyperlink>
    </w:p>
    <w:p w14:paraId="129A362F" w14:textId="77777777" w:rsidR="00DE13D3" w:rsidRDefault="00000000">
      <w:pPr>
        <w:pStyle w:val="Kazalovsebine2"/>
        <w:tabs>
          <w:tab w:val="right" w:leader="dot" w:pos="10240"/>
        </w:tabs>
        <w:rPr>
          <w:rFonts w:ascii="Calibri" w:hAnsi="Calibri"/>
          <w:sz w:val="22"/>
        </w:rPr>
      </w:pPr>
      <w:hyperlink w:anchor="_Toc256000098" w:history="1">
        <w:r w:rsidR="00A77B3E">
          <w:rPr>
            <w:rStyle w:val="Hiperpovezava"/>
          </w:rPr>
          <w:t>Tabela 13: Organi, pristojni za program</w:t>
        </w:r>
        <w:r w:rsidR="005A111E">
          <w:tab/>
        </w:r>
        <w:r w:rsidR="005A111E">
          <w:fldChar w:fldCharType="begin"/>
        </w:r>
        <w:r w:rsidR="005A111E">
          <w:instrText xml:space="preserve"> PAGEREF _Toc256000098 \h </w:instrText>
        </w:r>
        <w:r w:rsidR="005A111E">
          <w:fldChar w:fldCharType="separate"/>
        </w:r>
        <w:r w:rsidR="005A111E">
          <w:t>34</w:t>
        </w:r>
        <w:r w:rsidR="005A111E">
          <w:fldChar w:fldCharType="end"/>
        </w:r>
      </w:hyperlink>
    </w:p>
    <w:p w14:paraId="411D610C" w14:textId="77777777" w:rsidR="00DE13D3" w:rsidRDefault="00000000">
      <w:pPr>
        <w:pStyle w:val="Kazalovsebine2"/>
        <w:tabs>
          <w:tab w:val="right" w:leader="dot" w:pos="10240"/>
        </w:tabs>
        <w:rPr>
          <w:rFonts w:ascii="Calibri" w:hAnsi="Calibri"/>
          <w:sz w:val="22"/>
        </w:rPr>
      </w:pPr>
      <w:hyperlink w:anchor="_Toc256000099" w:history="1">
        <w:r w:rsidR="00A77B3E">
          <w:rPr>
            <w:rStyle w:val="Hiperpovezava"/>
          </w:rPr>
          <w:t>Porazdelitev povrnjenih zneskov za tehnično pomoč v skladu s členom 36(5) uredbe o skupnih določbah, če je za prejemanje plačil Komisije opredeljenih več teles</w:t>
        </w:r>
        <w:r w:rsidR="005A111E">
          <w:tab/>
        </w:r>
        <w:r w:rsidR="005A111E">
          <w:fldChar w:fldCharType="begin"/>
        </w:r>
        <w:r w:rsidR="005A111E">
          <w:instrText xml:space="preserve"> PAGEREF _Toc256000099 \h </w:instrText>
        </w:r>
        <w:r w:rsidR="005A111E">
          <w:fldChar w:fldCharType="separate"/>
        </w:r>
        <w:r w:rsidR="005A111E">
          <w:t>34</w:t>
        </w:r>
        <w:r w:rsidR="005A111E">
          <w:fldChar w:fldCharType="end"/>
        </w:r>
      </w:hyperlink>
    </w:p>
    <w:p w14:paraId="1F20D723" w14:textId="77777777" w:rsidR="00DE13D3" w:rsidRDefault="00000000">
      <w:pPr>
        <w:pStyle w:val="Kazalovsebine1"/>
        <w:tabs>
          <w:tab w:val="right" w:leader="dot" w:pos="10240"/>
        </w:tabs>
        <w:rPr>
          <w:rFonts w:ascii="Calibri" w:hAnsi="Calibri"/>
          <w:sz w:val="22"/>
        </w:rPr>
      </w:pPr>
      <w:hyperlink w:anchor="_Toc256000100" w:history="1">
        <w:r w:rsidR="00A77B3E">
          <w:rPr>
            <w:rStyle w:val="Hiperpovezava"/>
          </w:rPr>
          <w:t>6. Partnerstvo</w:t>
        </w:r>
        <w:r w:rsidR="005A111E">
          <w:tab/>
        </w:r>
        <w:r w:rsidR="005A111E">
          <w:fldChar w:fldCharType="begin"/>
        </w:r>
        <w:r w:rsidR="005A111E">
          <w:instrText xml:space="preserve"> PAGEREF _Toc256000100 \h </w:instrText>
        </w:r>
        <w:r w:rsidR="005A111E">
          <w:fldChar w:fldCharType="separate"/>
        </w:r>
        <w:r w:rsidR="005A111E">
          <w:t>35</w:t>
        </w:r>
        <w:r w:rsidR="005A111E">
          <w:fldChar w:fldCharType="end"/>
        </w:r>
      </w:hyperlink>
    </w:p>
    <w:p w14:paraId="49EA2205" w14:textId="77777777" w:rsidR="00DE13D3" w:rsidRDefault="00000000">
      <w:pPr>
        <w:pStyle w:val="Kazalovsebine1"/>
        <w:tabs>
          <w:tab w:val="right" w:leader="dot" w:pos="10240"/>
        </w:tabs>
        <w:rPr>
          <w:rFonts w:ascii="Calibri" w:hAnsi="Calibri"/>
          <w:sz w:val="22"/>
        </w:rPr>
      </w:pPr>
      <w:hyperlink w:anchor="_Toc256000101" w:history="1">
        <w:r w:rsidR="00A77B3E">
          <w:rPr>
            <w:rStyle w:val="Hiperpovezava"/>
          </w:rPr>
          <w:t>7. Komuniciranje in prepoznavnost</w:t>
        </w:r>
        <w:r w:rsidR="005A111E">
          <w:tab/>
        </w:r>
        <w:r w:rsidR="005A111E">
          <w:fldChar w:fldCharType="begin"/>
        </w:r>
        <w:r w:rsidR="005A111E">
          <w:instrText xml:space="preserve"> PAGEREF _Toc256000101 \h </w:instrText>
        </w:r>
        <w:r w:rsidR="005A111E">
          <w:fldChar w:fldCharType="separate"/>
        </w:r>
        <w:r w:rsidR="005A111E">
          <w:t>37</w:t>
        </w:r>
        <w:r w:rsidR="005A111E">
          <w:fldChar w:fldCharType="end"/>
        </w:r>
      </w:hyperlink>
    </w:p>
    <w:p w14:paraId="3627FE85" w14:textId="77777777" w:rsidR="00DE13D3" w:rsidRDefault="00000000">
      <w:pPr>
        <w:pStyle w:val="Kazalovsebine1"/>
        <w:tabs>
          <w:tab w:val="right" w:leader="dot" w:pos="10240"/>
        </w:tabs>
        <w:rPr>
          <w:rFonts w:ascii="Calibri" w:hAnsi="Calibri"/>
          <w:sz w:val="22"/>
        </w:rPr>
      </w:pPr>
      <w:hyperlink w:anchor="_Toc256000102" w:history="1">
        <w:r w:rsidR="00A77B3E">
          <w:rPr>
            <w:rStyle w:val="Hiperpovezava"/>
          </w:rPr>
          <w:t>8. Uporaba stroškov na enoto, pavšalnih zneskov, pavšalnih stopenj in financiranja, ki ni povezano s stroški</w:t>
        </w:r>
        <w:r w:rsidR="005A111E">
          <w:tab/>
        </w:r>
        <w:r w:rsidR="005A111E">
          <w:fldChar w:fldCharType="begin"/>
        </w:r>
        <w:r w:rsidR="005A111E">
          <w:instrText xml:space="preserve"> PAGEREF _Toc256000102 \h </w:instrText>
        </w:r>
        <w:r w:rsidR="005A111E">
          <w:fldChar w:fldCharType="separate"/>
        </w:r>
        <w:r w:rsidR="005A111E">
          <w:t>39</w:t>
        </w:r>
        <w:r w:rsidR="005A111E">
          <w:fldChar w:fldCharType="end"/>
        </w:r>
      </w:hyperlink>
    </w:p>
    <w:p w14:paraId="375C12F4" w14:textId="77777777" w:rsidR="00DE13D3" w:rsidRDefault="00000000">
      <w:pPr>
        <w:pStyle w:val="Kazalovsebine2"/>
        <w:tabs>
          <w:tab w:val="right" w:leader="dot" w:pos="10240"/>
        </w:tabs>
        <w:rPr>
          <w:rFonts w:ascii="Calibri" w:hAnsi="Calibri"/>
          <w:sz w:val="22"/>
        </w:rPr>
      </w:pPr>
      <w:hyperlink w:anchor="_Toc256000103" w:history="1">
        <w:r w:rsidR="00A77B3E">
          <w:rPr>
            <w:rStyle w:val="Hiperpovezava"/>
          </w:rPr>
          <w:t>Tabela 14: Uporaba stroškov na enoto, pavšalnih zneskov, pavšalnih stopenj in financiranja, ki ni povezano s stroški</w:t>
        </w:r>
        <w:r w:rsidR="005A111E">
          <w:tab/>
        </w:r>
        <w:r w:rsidR="005A111E">
          <w:fldChar w:fldCharType="begin"/>
        </w:r>
        <w:r w:rsidR="005A111E">
          <w:instrText xml:space="preserve"> PAGEREF _Toc256000103 \h </w:instrText>
        </w:r>
        <w:r w:rsidR="005A111E">
          <w:fldChar w:fldCharType="separate"/>
        </w:r>
        <w:r w:rsidR="005A111E">
          <w:t>39</w:t>
        </w:r>
        <w:r w:rsidR="005A111E">
          <w:fldChar w:fldCharType="end"/>
        </w:r>
      </w:hyperlink>
    </w:p>
    <w:p w14:paraId="624FDDED" w14:textId="77777777" w:rsidR="00DE13D3" w:rsidRDefault="00000000">
      <w:pPr>
        <w:pStyle w:val="Kazalovsebine1"/>
        <w:tabs>
          <w:tab w:val="right" w:leader="dot" w:pos="10240"/>
        </w:tabs>
        <w:rPr>
          <w:rFonts w:ascii="Calibri" w:hAnsi="Calibri"/>
          <w:sz w:val="22"/>
        </w:rPr>
      </w:pPr>
      <w:hyperlink w:anchor="_Toc256000104" w:history="1">
        <w:r w:rsidR="00A77B3E">
          <w:rPr>
            <w:rStyle w:val="Hiperpovezava"/>
          </w:rPr>
          <w:t>Dodatek 1: Prispevek Unije na podlagi stroškov na enoto, pavšalnih zneskov in pavšalnih stopenj</w:t>
        </w:r>
        <w:r w:rsidR="005A111E">
          <w:tab/>
        </w:r>
        <w:r w:rsidR="005A111E">
          <w:fldChar w:fldCharType="begin"/>
        </w:r>
        <w:r w:rsidR="005A111E">
          <w:instrText xml:space="preserve"> PAGEREF _Toc256000104 \h </w:instrText>
        </w:r>
        <w:r w:rsidR="005A111E">
          <w:fldChar w:fldCharType="separate"/>
        </w:r>
        <w:r w:rsidR="005A111E">
          <w:t>40</w:t>
        </w:r>
        <w:r w:rsidR="005A111E">
          <w:fldChar w:fldCharType="end"/>
        </w:r>
      </w:hyperlink>
    </w:p>
    <w:p w14:paraId="2D01AB49" w14:textId="77777777" w:rsidR="00DE13D3" w:rsidRDefault="00000000">
      <w:pPr>
        <w:pStyle w:val="Kazalovsebine2"/>
        <w:tabs>
          <w:tab w:val="right" w:leader="dot" w:pos="10240"/>
        </w:tabs>
        <w:rPr>
          <w:rFonts w:ascii="Calibri" w:hAnsi="Calibri"/>
          <w:sz w:val="22"/>
        </w:rPr>
      </w:pPr>
      <w:hyperlink w:anchor="_Toc256000105" w:history="1">
        <w:r w:rsidR="00A77B3E">
          <w:rPr>
            <w:rStyle w:val="Hiperpovezava"/>
          </w:rPr>
          <w:t>A. Povzetek glavnih elementov</w:t>
        </w:r>
        <w:r w:rsidR="005A111E">
          <w:tab/>
        </w:r>
        <w:r w:rsidR="005A111E">
          <w:fldChar w:fldCharType="begin"/>
        </w:r>
        <w:r w:rsidR="005A111E">
          <w:instrText xml:space="preserve"> PAGEREF _Toc256000105 \h </w:instrText>
        </w:r>
        <w:r w:rsidR="005A111E">
          <w:fldChar w:fldCharType="separate"/>
        </w:r>
        <w:r w:rsidR="005A111E">
          <w:t>40</w:t>
        </w:r>
        <w:r w:rsidR="005A111E">
          <w:fldChar w:fldCharType="end"/>
        </w:r>
      </w:hyperlink>
    </w:p>
    <w:p w14:paraId="3414CF5C" w14:textId="77777777" w:rsidR="00DE13D3" w:rsidRDefault="00000000">
      <w:pPr>
        <w:pStyle w:val="Kazalovsebine2"/>
        <w:tabs>
          <w:tab w:val="right" w:leader="dot" w:pos="10240"/>
        </w:tabs>
        <w:rPr>
          <w:rFonts w:ascii="Calibri" w:hAnsi="Calibri"/>
          <w:sz w:val="22"/>
        </w:rPr>
      </w:pPr>
      <w:hyperlink w:anchor="_Toc256000106" w:history="1">
        <w:r w:rsidR="00A77B3E">
          <w:rPr>
            <w:rStyle w:val="Hiperpovezava"/>
          </w:rPr>
          <w:t>B. Podrobnosti glede na vrsto operacije</w:t>
        </w:r>
        <w:r w:rsidR="005A111E">
          <w:tab/>
        </w:r>
        <w:r w:rsidR="005A111E">
          <w:fldChar w:fldCharType="begin"/>
        </w:r>
        <w:r w:rsidR="005A111E">
          <w:instrText xml:space="preserve"> PAGEREF _Toc256000106 \h </w:instrText>
        </w:r>
        <w:r w:rsidR="005A111E">
          <w:fldChar w:fldCharType="separate"/>
        </w:r>
        <w:r w:rsidR="005A111E">
          <w:t>41</w:t>
        </w:r>
        <w:r w:rsidR="005A111E">
          <w:fldChar w:fldCharType="end"/>
        </w:r>
      </w:hyperlink>
    </w:p>
    <w:p w14:paraId="1D63CCF9" w14:textId="77777777" w:rsidR="00DE13D3" w:rsidRDefault="00000000">
      <w:pPr>
        <w:pStyle w:val="Kazalovsebine2"/>
        <w:tabs>
          <w:tab w:val="right" w:leader="dot" w:pos="10240"/>
        </w:tabs>
        <w:rPr>
          <w:rFonts w:ascii="Calibri" w:hAnsi="Calibri"/>
          <w:sz w:val="22"/>
        </w:rPr>
      </w:pPr>
      <w:hyperlink w:anchor="_Toc256000107" w:history="1">
        <w:r w:rsidR="00A77B3E">
          <w:rPr>
            <w:rStyle w:val="Hiperpovezava"/>
          </w:rPr>
          <w:t>C. Izračun standardnih stroškov na enoto, pavšalnih zneskov in pavšalnih stopenj</w:t>
        </w:r>
        <w:r w:rsidR="005A111E">
          <w:tab/>
        </w:r>
        <w:r w:rsidR="005A111E">
          <w:fldChar w:fldCharType="begin"/>
        </w:r>
        <w:r w:rsidR="005A111E">
          <w:instrText xml:space="preserve"> PAGEREF _Toc256000107 \h </w:instrText>
        </w:r>
        <w:r w:rsidR="005A111E">
          <w:fldChar w:fldCharType="separate"/>
        </w:r>
        <w:r w:rsidR="005A111E">
          <w:t>41</w:t>
        </w:r>
        <w:r w:rsidR="005A111E">
          <w:fldChar w:fldCharType="end"/>
        </w:r>
      </w:hyperlink>
    </w:p>
    <w:p w14:paraId="18BB2A0D" w14:textId="77777777" w:rsidR="00DE13D3" w:rsidRDefault="00000000">
      <w:pPr>
        <w:pStyle w:val="Kazalovsebine2"/>
        <w:tabs>
          <w:tab w:val="right" w:leader="dot" w:pos="10240"/>
        </w:tabs>
        <w:rPr>
          <w:rFonts w:ascii="Calibri" w:hAnsi="Calibri"/>
          <w:sz w:val="22"/>
        </w:rPr>
      </w:pPr>
      <w:hyperlink w:anchor="_Toc256000108" w:history="1">
        <w:r w:rsidR="00A77B3E">
          <w:rPr>
            <w:rStyle w:val="Hiperpovezava"/>
          </w:rPr>
          <w:t>1. Vir podatkov, uporabljenih za izračun standardnih stroškov na enoto, pavšalnih zneskov ali pavšalnih stopenj (kdo je predložil, zbral in evidentiral podatke; kje so podatki shranjeni; presečni datumi; potrjevanje itd.)</w:t>
        </w:r>
        <w:r w:rsidR="005A111E">
          <w:tab/>
        </w:r>
        <w:r w:rsidR="005A111E">
          <w:fldChar w:fldCharType="begin"/>
        </w:r>
        <w:r w:rsidR="005A111E">
          <w:instrText xml:space="preserve"> PAGEREF _Toc256000108 \h </w:instrText>
        </w:r>
        <w:r w:rsidR="005A111E">
          <w:fldChar w:fldCharType="separate"/>
        </w:r>
        <w:r w:rsidR="005A111E">
          <w:t>41</w:t>
        </w:r>
        <w:r w:rsidR="005A111E">
          <w:fldChar w:fldCharType="end"/>
        </w:r>
      </w:hyperlink>
    </w:p>
    <w:p w14:paraId="5F48F409" w14:textId="77777777" w:rsidR="00DE13D3" w:rsidRDefault="00000000">
      <w:pPr>
        <w:pStyle w:val="Kazalovsebine2"/>
        <w:tabs>
          <w:tab w:val="right" w:leader="dot" w:pos="10240"/>
        </w:tabs>
        <w:rPr>
          <w:rFonts w:ascii="Calibri" w:hAnsi="Calibri"/>
          <w:sz w:val="22"/>
        </w:rPr>
      </w:pPr>
      <w:hyperlink w:anchor="_Toc256000109" w:history="1">
        <w:r w:rsidR="00A77B3E">
          <w:rPr>
            <w:rStyle w:val="Hiperpovezava"/>
          </w:rPr>
          <w:t>2. Navedite, zakaj sta predlagana metoda in izračun na podlagi člena 94(2) uredbe o skupnih določbah relevantna za vrsto operacije.</w:t>
        </w:r>
        <w:r w:rsidR="005A111E">
          <w:tab/>
        </w:r>
        <w:r w:rsidR="005A111E">
          <w:fldChar w:fldCharType="begin"/>
        </w:r>
        <w:r w:rsidR="005A111E">
          <w:instrText xml:space="preserve"> PAGEREF _Toc256000109 \h </w:instrText>
        </w:r>
        <w:r w:rsidR="005A111E">
          <w:fldChar w:fldCharType="separate"/>
        </w:r>
        <w:r w:rsidR="005A111E">
          <w:t>41</w:t>
        </w:r>
        <w:r w:rsidR="005A111E">
          <w:fldChar w:fldCharType="end"/>
        </w:r>
      </w:hyperlink>
    </w:p>
    <w:p w14:paraId="0CC6E9C5" w14:textId="77777777" w:rsidR="00DE13D3" w:rsidRDefault="00000000">
      <w:pPr>
        <w:pStyle w:val="Kazalovsebine2"/>
        <w:tabs>
          <w:tab w:val="right" w:leader="dot" w:pos="10240"/>
        </w:tabs>
        <w:rPr>
          <w:rFonts w:ascii="Calibri" w:hAnsi="Calibri"/>
          <w:sz w:val="22"/>
        </w:rPr>
      </w:pPr>
      <w:hyperlink w:anchor="_Toc256000110" w:history="1">
        <w:r w:rsidR="00A77B3E">
          <w:rPr>
            <w:rStyle w:val="Hiperpovezava"/>
          </w:rPr>
          <w:t>3. Navedite, kako so bili izračuni narejeni, vključno zlasti s predpostavkami v smislu kakovosti ali količin. Če je to relevantno, je treba uporabiti in na zahtevo predložiti statistične dokaze in referenčne vrednosti v obliki, ki jo lahko uporabi Evropska komisija.</w:t>
        </w:r>
        <w:r w:rsidR="005A111E">
          <w:tab/>
        </w:r>
        <w:r w:rsidR="005A111E">
          <w:fldChar w:fldCharType="begin"/>
        </w:r>
        <w:r w:rsidR="005A111E">
          <w:instrText xml:space="preserve"> PAGEREF _Toc256000110 \h </w:instrText>
        </w:r>
        <w:r w:rsidR="005A111E">
          <w:fldChar w:fldCharType="separate"/>
        </w:r>
        <w:r w:rsidR="005A111E">
          <w:t>41</w:t>
        </w:r>
        <w:r w:rsidR="005A111E">
          <w:fldChar w:fldCharType="end"/>
        </w:r>
      </w:hyperlink>
    </w:p>
    <w:p w14:paraId="4602DEA4" w14:textId="77777777" w:rsidR="00DE13D3" w:rsidRDefault="00000000">
      <w:pPr>
        <w:pStyle w:val="Kazalovsebine2"/>
        <w:tabs>
          <w:tab w:val="right" w:leader="dot" w:pos="10240"/>
        </w:tabs>
        <w:rPr>
          <w:rFonts w:ascii="Calibri" w:hAnsi="Calibri"/>
          <w:sz w:val="22"/>
        </w:rPr>
      </w:pPr>
      <w:hyperlink w:anchor="_Toc256000111" w:history="1">
        <w:r w:rsidR="00A77B3E">
          <w:rPr>
            <w:rStyle w:val="Hiperpovezava"/>
          </w:rPr>
          <w:t>4. Pojasnite, kako ste zagotovili, da so bili v izračun standardnih stroškov na enoto, pavšalnega zneska ali pavšalne stopnje vključeni le upravičeni izdatki.</w:t>
        </w:r>
        <w:r w:rsidR="005A111E">
          <w:tab/>
        </w:r>
        <w:r w:rsidR="005A111E">
          <w:fldChar w:fldCharType="begin"/>
        </w:r>
        <w:r w:rsidR="005A111E">
          <w:instrText xml:space="preserve"> PAGEREF _Toc256000111 \h </w:instrText>
        </w:r>
        <w:r w:rsidR="005A111E">
          <w:fldChar w:fldCharType="separate"/>
        </w:r>
        <w:r w:rsidR="005A111E">
          <w:t>41</w:t>
        </w:r>
        <w:r w:rsidR="005A111E">
          <w:fldChar w:fldCharType="end"/>
        </w:r>
      </w:hyperlink>
    </w:p>
    <w:p w14:paraId="77241CA1" w14:textId="77777777" w:rsidR="00DE13D3" w:rsidRDefault="00000000">
      <w:pPr>
        <w:pStyle w:val="Kazalovsebine2"/>
        <w:tabs>
          <w:tab w:val="right" w:leader="dot" w:pos="10240"/>
        </w:tabs>
        <w:rPr>
          <w:rFonts w:ascii="Calibri" w:hAnsi="Calibri"/>
          <w:sz w:val="22"/>
        </w:rPr>
      </w:pPr>
      <w:hyperlink w:anchor="_Toc256000112" w:history="1">
        <w:r w:rsidR="00A77B3E">
          <w:rPr>
            <w:rStyle w:val="Hiperpovezava"/>
          </w:rPr>
          <w:t>5. Ocena revizijskega organa v zvezi z metodologijo za izračun in zneski ter ureditvijo za zagotovitev potrjevanja, kakovosti, zbiranja in shranjevanja podatkov.</w:t>
        </w:r>
        <w:r w:rsidR="005A111E">
          <w:tab/>
        </w:r>
        <w:r w:rsidR="005A111E">
          <w:fldChar w:fldCharType="begin"/>
        </w:r>
        <w:r w:rsidR="005A111E">
          <w:instrText xml:space="preserve"> PAGEREF _Toc256000112 \h </w:instrText>
        </w:r>
        <w:r w:rsidR="005A111E">
          <w:fldChar w:fldCharType="separate"/>
        </w:r>
        <w:r w:rsidR="005A111E">
          <w:t>41</w:t>
        </w:r>
        <w:r w:rsidR="005A111E">
          <w:fldChar w:fldCharType="end"/>
        </w:r>
      </w:hyperlink>
    </w:p>
    <w:p w14:paraId="3F6B51A3" w14:textId="77777777" w:rsidR="00DE13D3" w:rsidRDefault="00000000">
      <w:pPr>
        <w:pStyle w:val="Kazalovsebine1"/>
        <w:tabs>
          <w:tab w:val="right" w:leader="dot" w:pos="10240"/>
        </w:tabs>
        <w:rPr>
          <w:rFonts w:ascii="Calibri" w:hAnsi="Calibri"/>
          <w:sz w:val="22"/>
        </w:rPr>
      </w:pPr>
      <w:hyperlink w:anchor="_Toc256000113" w:history="1">
        <w:r w:rsidR="00A77B3E">
          <w:rPr>
            <w:rStyle w:val="Hiperpovezava"/>
          </w:rPr>
          <w:t>Dodatek 2: Prispevek Unije, temelječ na financiranju, ki ni povezano s stroški</w:t>
        </w:r>
        <w:r w:rsidR="005A111E">
          <w:tab/>
        </w:r>
        <w:r w:rsidR="005A111E">
          <w:fldChar w:fldCharType="begin"/>
        </w:r>
        <w:r w:rsidR="005A111E">
          <w:instrText xml:space="preserve"> PAGEREF _Toc256000113 \h </w:instrText>
        </w:r>
        <w:r w:rsidR="005A111E">
          <w:fldChar w:fldCharType="separate"/>
        </w:r>
        <w:r w:rsidR="005A111E">
          <w:t>42</w:t>
        </w:r>
        <w:r w:rsidR="005A111E">
          <w:fldChar w:fldCharType="end"/>
        </w:r>
      </w:hyperlink>
    </w:p>
    <w:p w14:paraId="1327AB84" w14:textId="77777777" w:rsidR="00DE13D3" w:rsidRDefault="00000000">
      <w:pPr>
        <w:pStyle w:val="Kazalovsebine2"/>
        <w:tabs>
          <w:tab w:val="right" w:leader="dot" w:pos="10240"/>
        </w:tabs>
        <w:rPr>
          <w:rFonts w:ascii="Calibri" w:hAnsi="Calibri"/>
          <w:sz w:val="22"/>
        </w:rPr>
      </w:pPr>
      <w:hyperlink w:anchor="_Toc256000114" w:history="1">
        <w:r w:rsidR="00A77B3E">
          <w:rPr>
            <w:rStyle w:val="Hiperpovezava"/>
          </w:rPr>
          <w:t>A. Povzetek glavnih elementov</w:t>
        </w:r>
        <w:r w:rsidR="005A111E">
          <w:tab/>
        </w:r>
        <w:r w:rsidR="005A111E">
          <w:fldChar w:fldCharType="begin"/>
        </w:r>
        <w:r w:rsidR="005A111E">
          <w:instrText xml:space="preserve"> PAGEREF _Toc256000114 \h </w:instrText>
        </w:r>
        <w:r w:rsidR="005A111E">
          <w:fldChar w:fldCharType="separate"/>
        </w:r>
        <w:r w:rsidR="005A111E">
          <w:t>42</w:t>
        </w:r>
        <w:r w:rsidR="005A111E">
          <w:fldChar w:fldCharType="end"/>
        </w:r>
      </w:hyperlink>
    </w:p>
    <w:p w14:paraId="73EB9D80" w14:textId="77777777" w:rsidR="00DE13D3" w:rsidRDefault="00000000">
      <w:pPr>
        <w:pStyle w:val="Kazalovsebine2"/>
        <w:tabs>
          <w:tab w:val="right" w:leader="dot" w:pos="10240"/>
        </w:tabs>
        <w:rPr>
          <w:rFonts w:ascii="Calibri" w:hAnsi="Calibri"/>
          <w:sz w:val="22"/>
        </w:rPr>
      </w:pPr>
      <w:hyperlink w:anchor="_Toc256000115" w:history="1">
        <w:r w:rsidR="00A77B3E">
          <w:rPr>
            <w:rStyle w:val="Hiperpovezava"/>
          </w:rPr>
          <w:t>B. Podrobnosti glede na vrsto operacije</w:t>
        </w:r>
        <w:r w:rsidR="005A111E">
          <w:tab/>
        </w:r>
        <w:r w:rsidR="005A111E">
          <w:fldChar w:fldCharType="begin"/>
        </w:r>
        <w:r w:rsidR="005A111E">
          <w:instrText xml:space="preserve"> PAGEREF _Toc256000115 \h </w:instrText>
        </w:r>
        <w:r w:rsidR="005A111E">
          <w:fldChar w:fldCharType="separate"/>
        </w:r>
        <w:r w:rsidR="005A111E">
          <w:t>43</w:t>
        </w:r>
        <w:r w:rsidR="005A111E">
          <w:fldChar w:fldCharType="end"/>
        </w:r>
      </w:hyperlink>
    </w:p>
    <w:p w14:paraId="31061A55" w14:textId="77777777" w:rsidR="00DE13D3" w:rsidRDefault="00000000">
      <w:pPr>
        <w:pStyle w:val="Kazalovsebine1"/>
        <w:tabs>
          <w:tab w:val="right" w:leader="dot" w:pos="10240"/>
        </w:tabs>
        <w:rPr>
          <w:rFonts w:ascii="Calibri" w:hAnsi="Calibri"/>
          <w:sz w:val="22"/>
        </w:rPr>
      </w:pPr>
      <w:hyperlink w:anchor="_Toc256000116" w:history="1">
        <w:r w:rsidR="00A77B3E">
          <w:rPr>
            <w:rStyle w:val="Hiperpovezava"/>
          </w:rPr>
          <w:t>Dodatek 3: Seznam načrtovanih operacij strateškega pomena s časovnim načrtom</w:t>
        </w:r>
        <w:r w:rsidR="005A111E">
          <w:tab/>
        </w:r>
        <w:r w:rsidR="005A111E">
          <w:fldChar w:fldCharType="begin"/>
        </w:r>
        <w:r w:rsidR="005A111E">
          <w:instrText xml:space="preserve"> PAGEREF _Toc256000116 \h </w:instrText>
        </w:r>
        <w:r w:rsidR="005A111E">
          <w:fldChar w:fldCharType="separate"/>
        </w:r>
        <w:r w:rsidR="005A111E">
          <w:t>44</w:t>
        </w:r>
        <w:r w:rsidR="005A111E">
          <w:fldChar w:fldCharType="end"/>
        </w:r>
      </w:hyperlink>
    </w:p>
    <w:p w14:paraId="522CF8D5" w14:textId="77777777" w:rsidR="00DE13D3" w:rsidRDefault="00000000">
      <w:pPr>
        <w:pStyle w:val="Kazalovsebine1"/>
        <w:tabs>
          <w:tab w:val="right" w:leader="dot" w:pos="10240"/>
        </w:tabs>
        <w:rPr>
          <w:rFonts w:ascii="Calibri" w:hAnsi="Calibri"/>
          <w:sz w:val="22"/>
        </w:rPr>
      </w:pPr>
      <w:hyperlink w:anchor="_Toc256000117" w:history="1">
        <w:r w:rsidR="00A77B3E">
          <w:rPr>
            <w:rStyle w:val="Hiperpovezava"/>
          </w:rPr>
          <w:t>DOKUMENTI</w:t>
        </w:r>
        <w:r w:rsidR="005A111E">
          <w:tab/>
        </w:r>
        <w:r w:rsidR="005A111E">
          <w:fldChar w:fldCharType="begin"/>
        </w:r>
        <w:r w:rsidR="005A111E">
          <w:instrText xml:space="preserve"> PAGEREF _Toc256000117 \h </w:instrText>
        </w:r>
        <w:r w:rsidR="005A111E">
          <w:fldChar w:fldCharType="separate"/>
        </w:r>
        <w:r w:rsidR="005A111E">
          <w:t>45</w:t>
        </w:r>
        <w:r w:rsidR="005A111E">
          <w:fldChar w:fldCharType="end"/>
        </w:r>
      </w:hyperlink>
    </w:p>
    <w:p w14:paraId="2252E7EF" w14:textId="77777777" w:rsidR="00A77B3E" w:rsidRPr="00DF1E49" w:rsidRDefault="005A111E">
      <w:pPr>
        <w:pStyle w:val="Naslov1"/>
        <w:spacing w:before="100" w:after="0"/>
        <w:rPr>
          <w:rFonts w:ascii="Times New Roman" w:hAnsi="Times New Roman" w:cs="Times New Roman"/>
          <w:b w:val="0"/>
          <w:color w:val="000000"/>
          <w:sz w:val="24"/>
          <w:lang w:val="it-IT"/>
        </w:rPr>
      </w:pPr>
      <w:r>
        <w:rPr>
          <w:rFonts w:ascii="Times New Roman" w:hAnsi="Times New Roman" w:cs="Times New Roman"/>
          <w:b w:val="0"/>
          <w:color w:val="000000"/>
          <w:sz w:val="24"/>
        </w:rPr>
        <w:fldChar w:fldCharType="end"/>
      </w:r>
      <w:r w:rsidRPr="00DF1E49">
        <w:rPr>
          <w:rFonts w:ascii="Times New Roman" w:hAnsi="Times New Roman" w:cs="Times New Roman"/>
          <w:b w:val="0"/>
          <w:color w:val="000000"/>
          <w:sz w:val="24"/>
          <w:lang w:val="it-IT"/>
        </w:rPr>
        <w:br w:type="page"/>
      </w:r>
      <w:bookmarkStart w:id="0" w:name="_Toc256000059"/>
      <w:r w:rsidRPr="00DF1E49">
        <w:rPr>
          <w:rFonts w:ascii="Times New Roman" w:hAnsi="Times New Roman" w:cs="Times New Roman"/>
          <w:b w:val="0"/>
          <w:color w:val="000000"/>
          <w:sz w:val="24"/>
          <w:lang w:val="it-IT"/>
        </w:rPr>
        <w:lastRenderedPageBreak/>
        <w:t>1. Strategija programa: glavni izzivi in odzivi politik</w:t>
      </w:r>
      <w:bookmarkEnd w:id="0"/>
    </w:p>
    <w:p w14:paraId="61988C85" w14:textId="77777777" w:rsidR="00A77B3E" w:rsidRDefault="005A111E">
      <w:pPr>
        <w:spacing w:before="100"/>
        <w:rPr>
          <w:color w:val="000000"/>
          <w:sz w:val="0"/>
        </w:rPr>
      </w:pPr>
      <w:r>
        <w:rPr>
          <w:color w:val="000000"/>
        </w:rPr>
        <w:t>Sklic: člen 22(3)(a)(i) do (viii) in (x) ter (b) Uredbe (EU) 2021/1060 (uredba o skupnih določbah)</w:t>
      </w:r>
    </w:p>
    <w:p w14:paraId="3453BC3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E13D3" w:rsidRPr="00DF1E49" w14:paraId="3E712AF9"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681AB1" w14:textId="77777777" w:rsidR="00A77B3E" w:rsidRDefault="00A77B3E">
            <w:pPr>
              <w:spacing w:before="100"/>
              <w:rPr>
                <w:color w:val="000000"/>
                <w:sz w:val="0"/>
              </w:rPr>
            </w:pPr>
          </w:p>
          <w:p w14:paraId="33D4BF2F" w14:textId="77777777" w:rsidR="00A77B3E" w:rsidRPr="00DF1E49" w:rsidRDefault="005A111E">
            <w:pPr>
              <w:spacing w:before="100"/>
              <w:rPr>
                <w:color w:val="000000"/>
                <w:lang w:val="it-IT"/>
              </w:rPr>
            </w:pPr>
            <w:r w:rsidRPr="00DF1E49">
              <w:rPr>
                <w:b/>
                <w:bCs/>
                <w:color w:val="000000"/>
                <w:u w:val="single"/>
                <w:lang w:val="it-IT"/>
              </w:rPr>
              <w:t>Naložbene potrebe ter dopolnjevanje in sinergije z drugimi oblikami podpore</w:t>
            </w:r>
          </w:p>
          <w:p w14:paraId="03B74179" w14:textId="77777777" w:rsidR="00A77B3E" w:rsidRPr="00DF1E49" w:rsidRDefault="00A77B3E">
            <w:pPr>
              <w:spacing w:before="100"/>
              <w:rPr>
                <w:color w:val="000000"/>
                <w:lang w:val="it-IT"/>
              </w:rPr>
            </w:pPr>
          </w:p>
          <w:p w14:paraId="285778CE" w14:textId="77777777" w:rsidR="00A77B3E" w:rsidRPr="00DF1E49" w:rsidRDefault="005A111E">
            <w:pPr>
              <w:spacing w:before="100"/>
              <w:rPr>
                <w:color w:val="000000"/>
                <w:lang w:val="it-IT"/>
              </w:rPr>
            </w:pPr>
            <w:r w:rsidRPr="00DF1E49">
              <w:rPr>
                <w:color w:val="000000"/>
                <w:lang w:val="it-IT"/>
              </w:rPr>
              <w:t>Bolj socialna in vključujoča Evropa za izvajanje evropskega stebra socialnih pravic je četrti cilj politik, ki ga je Slovenija opredelila v Sporazumu o partnerstvu med Slovenijo in Evropsko komisijo za obdobje 2021-2027 za financiranje iz evropskih sredstev, in se bo uresničeval tudi s Programom za odpravljanje materialne prikrajšanosti v Sloveniji za obdobje 2021-2027 (v nadaljevanju: Program).</w:t>
            </w:r>
          </w:p>
          <w:p w14:paraId="3EC23301" w14:textId="77777777" w:rsidR="00A77B3E" w:rsidRPr="00DF1E49" w:rsidRDefault="00A77B3E">
            <w:pPr>
              <w:spacing w:before="100"/>
              <w:rPr>
                <w:color w:val="000000"/>
                <w:lang w:val="it-IT"/>
              </w:rPr>
            </w:pPr>
          </w:p>
          <w:p w14:paraId="3B2B81BC" w14:textId="77777777" w:rsidR="00A77B3E" w:rsidRPr="00DF1E49" w:rsidRDefault="005A111E">
            <w:pPr>
              <w:spacing w:before="100"/>
              <w:rPr>
                <w:color w:val="000000"/>
                <w:lang w:val="it-IT"/>
              </w:rPr>
            </w:pPr>
            <w:r w:rsidRPr="00DF1E49">
              <w:rPr>
                <w:color w:val="000000"/>
                <w:lang w:val="it-IT"/>
              </w:rPr>
              <w:t>Ključni cilj Programa je zagotavljati kontinuirano pomoč osebam, ki se soočajo z največjo stopnjo tveganja revščine, in sodijo med najbolj ogrožene skupine v Sloveniji. Pomoč se bo zagotavljala v obliki hrane in različnih spremljevalnih ukrepov, ki bodo izboljšali njihovo socialno vključenost in prispevali k izkoreninjenju revščine. Do pomoči iz Programa bodo upravičena gospodinjstva brez delovno aktivnih članov z vzdrževanimi otroki, gospodinjstva z delno delovno aktivnimi odraslimi člani z vzdrževanimi otroki, delovno neintenzivna gospodinjstva brez vzdrževanih otrok, brezposelni, upokojene ženske (še posebej starejše od 75 let), in enočlanska gospodinjstva (še posebej enočlanska gospodinjstva oseb, starih 65 let in več). Poleg navedenih ciljnih skupin bodo do pomoči upravičene tudi druge skupine oziroma posamezniki, za katere bodo pristojne institucije odločile, da potrebujejo pomoč.</w:t>
            </w:r>
          </w:p>
          <w:p w14:paraId="0F1CD102" w14:textId="77777777" w:rsidR="00A77B3E" w:rsidRPr="00DF1E49" w:rsidRDefault="00A77B3E">
            <w:pPr>
              <w:spacing w:before="100"/>
              <w:rPr>
                <w:color w:val="000000"/>
                <w:lang w:val="it-IT"/>
              </w:rPr>
            </w:pPr>
          </w:p>
          <w:p w14:paraId="5F8AE6AF" w14:textId="77777777" w:rsidR="00A77B3E" w:rsidRPr="00DF1E49" w:rsidRDefault="005A111E">
            <w:pPr>
              <w:spacing w:before="100"/>
              <w:rPr>
                <w:color w:val="000000"/>
                <w:lang w:val="it-IT"/>
              </w:rPr>
            </w:pPr>
            <w:r w:rsidRPr="00DF1E49">
              <w:rPr>
                <w:color w:val="000000"/>
                <w:lang w:val="it-IT"/>
              </w:rPr>
              <w:t>Po zadnjih podatkih Eurostat za leto 2020 je stopnja tveganja revščine ali socialne izključenosti (AROPE) v Sloveniji znašala 14,3 %, kar je precej pod povprečjem EU-27, ki je znašalo 21,9 % in Slovenijo uvršča na tretje mesto med evropskimi državami. Kazalnik stopnja tveganja revščine ali socialne izključenosti (AROPE) sestavljajo trije podkazalniki: število oseb, ki živi pod pragom tveganja revščine; število oseb, ki so resno materialno prikrajšane in število oseb, ki živijo v gospodinjstvih z zelo nizko delovno intenzivnostjo. Stopnja tveganja revščine je leta 2020 znašala 12,4 %, kar je pod povprečjem EU-27, ki je znašalo 17,1 % in Slovenijo uvršča na šesto mesto med evropskimi državami. Stopnja resne materialne prikrajšanosti leta 2020 je znašala 3 %, kar je pod povprečjem EU-27, ki je znašalo 5,9 %, kar Slovenijo uvršča na dvanajsto mesto med državami EU. Odstotek oseb, ki so živele v gospodinjstvih z zelo nizko delovno intenzivnostjo je leta 2020 znašal 3,9 %, kar je pod povprečjem EU, ki je znašalo 8,2 %, kar Slovenijo uvršča na prvo mesto med državami EU.</w:t>
            </w:r>
          </w:p>
          <w:p w14:paraId="6EC0A0D0" w14:textId="77777777" w:rsidR="00A77B3E" w:rsidRPr="00DF1E49" w:rsidRDefault="00A77B3E">
            <w:pPr>
              <w:spacing w:before="100"/>
              <w:rPr>
                <w:color w:val="000000"/>
                <w:lang w:val="it-IT"/>
              </w:rPr>
            </w:pPr>
          </w:p>
          <w:p w14:paraId="6EE63236" w14:textId="77777777" w:rsidR="00A77B3E" w:rsidRPr="00DF1E49" w:rsidRDefault="005A111E">
            <w:pPr>
              <w:spacing w:before="100"/>
              <w:rPr>
                <w:color w:val="000000"/>
                <w:lang w:val="it-IT"/>
              </w:rPr>
            </w:pPr>
            <w:r w:rsidRPr="00DF1E49">
              <w:rPr>
                <w:color w:val="000000"/>
                <w:lang w:val="it-IT"/>
              </w:rPr>
              <w:t>Primerjava kazalnika stopnja tveganja revščine ali socialne izključenosti (AROPE) za Slovenijo in povprečja v EU kaže, da ima Slovenija slabše rezultate tega kazalnika za naslednje skupine prebivalstva: ženske, stare 65 let in več, brezposelne, neaktivne, upokojence, nizko izobražene (osnovnošolska izobrazba ali manj in srednješolska izobrazba), ki so stari 55 let in več, v tujini rojene prebivalce in samske osebe. Po zadnjih podatkih Statističnega urada Republike Slovenije (v nadaljevanju: SURS) je leta 2021 z dohodkom, nižjim od praga revščine, še vedno živelo 243.000 oziroma 11,5 % prebivalcev. Od tega je bilo 85.000 upokojencev (ali 16,2 % vseh upokojencev), 46.000 je bilo delovno aktivnih (ali 4,6 % od vseh delovno aktivnih), 38.000 je bilo brezposelnih (ali 40,9 % od vseh brezposelnih), 40.000 je bilo mladoletnih otrok (ali 10,7 % od vseh otrok), 34.000 pa je bilo drugih oseb (ali 4,4 % od vseh nezmožnih za delo, gospodinj, študentov, drugih neaktivnih in nerazvrščenih oseb).</w:t>
            </w:r>
          </w:p>
          <w:p w14:paraId="10213C21" w14:textId="77777777" w:rsidR="00A77B3E" w:rsidRPr="00DF1E49" w:rsidRDefault="00A77B3E">
            <w:pPr>
              <w:spacing w:before="100"/>
              <w:rPr>
                <w:color w:val="000000"/>
                <w:lang w:val="it-IT"/>
              </w:rPr>
            </w:pPr>
          </w:p>
          <w:p w14:paraId="660C70DD" w14:textId="77777777" w:rsidR="00A77B3E" w:rsidRPr="00DF1E49" w:rsidRDefault="005A111E">
            <w:pPr>
              <w:spacing w:before="100"/>
              <w:rPr>
                <w:color w:val="000000"/>
                <w:lang w:val="it-IT"/>
              </w:rPr>
            </w:pPr>
            <w:r w:rsidRPr="00DF1E49">
              <w:rPr>
                <w:color w:val="000000"/>
                <w:lang w:val="it-IT"/>
              </w:rPr>
              <w:t xml:space="preserve">Socialni položaj se je zaradi posledic pandemije COVID-19 v letu 2020 nekoliko poslabšal, v letu 2021 pa se je ponovno izboljšal. V letu 2020 se je zvišalo število prejemnikov denarne socialne pomoči (v nadaljevanju: DSP), kar je predvsem povezano z izgubo zaposlitve, saj so se zaradi omejitvenih ukrepov za preprečevanje širjenja COVID-19 številne gospodarske panoge zaprle. Tako je bilo v decembru 2020 12,6 % več prejemnikov DSP kot decembra 2019. Največji porast je bil v starostni skupini od 27 do 35 let, torej v delovno aktivni populaciji, ter v deležu števila otrok, kar pomeni, da gre za porast števila družin z otroki. Porast števila socialno in materialno ogroženih oseb sovpada tudi s porastom števila </w:t>
            </w:r>
            <w:r w:rsidRPr="00DF1E49">
              <w:rPr>
                <w:color w:val="000000"/>
                <w:lang w:val="it-IT"/>
              </w:rPr>
              <w:lastRenderedPageBreak/>
              <w:t>registrirano brezposelnih oseb, ki so hkrati prejemniki DSP. Po uradnih podatkih Zavoda Republike Slovenije za zaposlovanje (v nadaljevanju: ZRSZ) je bilo konec decembra 2020 med registriranimi brezposelnimi 38.148 oseb prejemnikov DSP, kar je 31,1 % več kot decembra 2019. Brez sistema socialnih transferjev bi bila stopnja tveganja revščine še višja. Socialni transferji glede na starost najbolj zmanjšujejo tveganje revščine pri mladih pod 18 letom starosti, pri kategoriji 18-64 let njihov vpliv že upade, medtem ko imajo najmanjši vpliv pri starejši populaciji, še posebej pri ženskah. Glede na tip gospodinjstev je učinkovitost socialnih transferjev precej višja za gospodinjstva z otroki kot za gospodinjstva brez otrok, kar kaže na precejšnjo usmerjenost socialnih transferjev na otroke. Največja učinkovitost socialnih transferjev pri zmanjševanju tveganja revščine je sicer opazna pri gospodinjstvih dveh odraslih oseb in dveh ali več otrok. Najnižjo učinkovitost socialnih transferjev med gospodinjstvi z otroki beležijo enostarševska gospodinjstva.</w:t>
            </w:r>
          </w:p>
          <w:p w14:paraId="0652B4F1" w14:textId="77777777" w:rsidR="00A77B3E" w:rsidRPr="00DF1E49" w:rsidRDefault="00A77B3E">
            <w:pPr>
              <w:spacing w:before="100"/>
              <w:rPr>
                <w:color w:val="000000"/>
                <w:lang w:val="it-IT"/>
              </w:rPr>
            </w:pPr>
          </w:p>
          <w:p w14:paraId="2DF42F2F" w14:textId="77777777" w:rsidR="00A77B3E" w:rsidRPr="00DF1E49" w:rsidRDefault="005A111E">
            <w:pPr>
              <w:spacing w:before="100"/>
              <w:rPr>
                <w:color w:val="000000"/>
                <w:lang w:val="it-IT"/>
              </w:rPr>
            </w:pPr>
            <w:r w:rsidRPr="00DF1E49">
              <w:rPr>
                <w:color w:val="000000"/>
                <w:lang w:val="it-IT"/>
              </w:rPr>
              <w:t>Situacija se je v drugi polovici leta 2021 pričela izboljševati, konec leta 2021 je bilo tako 12,5% manj prejemnikov DSP kot v letu 2020. Po podatkih ZRSZ je bilo konec decembra 2021 med registriranimi brezposelnimi 29.312 oseb prejemnikov DSP, kar je 23,2% manj kot decembra 2020.</w:t>
            </w:r>
          </w:p>
          <w:p w14:paraId="0BC2E94E" w14:textId="77777777" w:rsidR="00A77B3E" w:rsidRPr="00DF1E49" w:rsidRDefault="00A77B3E">
            <w:pPr>
              <w:spacing w:before="100"/>
              <w:rPr>
                <w:color w:val="000000"/>
                <w:lang w:val="it-IT"/>
              </w:rPr>
            </w:pPr>
          </w:p>
          <w:p w14:paraId="4F7D16E6" w14:textId="77777777" w:rsidR="00A77B3E" w:rsidRPr="00DF1E49" w:rsidRDefault="005A111E">
            <w:pPr>
              <w:spacing w:before="100"/>
              <w:rPr>
                <w:color w:val="000000"/>
                <w:lang w:val="it-IT"/>
              </w:rPr>
            </w:pPr>
            <w:r w:rsidRPr="00DF1E49">
              <w:rPr>
                <w:color w:val="000000"/>
                <w:lang w:val="it-IT"/>
              </w:rPr>
              <w:t>Socialni položaj prebivalstva pa se lahko v prihodnje poslabša zaradi vpliva epidemije COVID-19 in vojne v Ukrajini na rast cen surovin, energentov, prehranskih izdelkov, kar lahko otežuje nemoten potek dobav prehranskih izdelkov v okviru Programa na dolgi rok.</w:t>
            </w:r>
          </w:p>
          <w:p w14:paraId="0CE44CED" w14:textId="77777777" w:rsidR="00A77B3E" w:rsidRPr="00DF1E49" w:rsidRDefault="00A77B3E">
            <w:pPr>
              <w:spacing w:before="100"/>
              <w:rPr>
                <w:color w:val="000000"/>
                <w:lang w:val="it-IT"/>
              </w:rPr>
            </w:pPr>
          </w:p>
          <w:p w14:paraId="2D67CBA2" w14:textId="77777777" w:rsidR="00A77B3E" w:rsidRPr="00DF1E49" w:rsidRDefault="005A111E">
            <w:pPr>
              <w:spacing w:before="100"/>
              <w:rPr>
                <w:color w:val="000000"/>
                <w:lang w:val="it-IT"/>
              </w:rPr>
            </w:pPr>
            <w:r w:rsidRPr="00DF1E49">
              <w:rPr>
                <w:color w:val="000000"/>
                <w:lang w:val="it-IT"/>
              </w:rPr>
              <w:t>Pri pripravi Programa smo izhajali iz Strategije razvoja Slovenije 2030, ki predstavlja krovni razvojni okvir države in v središče postavlja cilj zagotoviti kakovostno življenje za vse, zato je potrebno ukrepe usmerjati tudi v zagotavljanje dostojnega življenja in socialne vključenosti oseb, ki jih ogrožata revščina in socialna izključenost. Upoštevali smo tudi Strategijo dolgožive družbe Slovenije, ki postavlja okvir za izvedbo nujnih vsebinskih sprememb, ki jih prinašajo demografske spremembe v prihodnjih letih. Kot enega izmed štirih stebrov potrebnih prilagoditev in sprememb opredeljuje zagotavljanje samostojnega, zdravega in varnega življenja vseh generacij. V okviru tega stebra je kot ena izmed usmeritev za zmanjševanje neenakosti v zdravju in izboljšanje vključenosti v družbo opredeljeno tudi zmanjševanje materialne prikrajšanosti kot ključni cilj širše politike države in dogovorjenih prednostnih nalog vseh politik, ki temeljijo na načelu pravičnosti in enakega dostopa. Program bo prispeval tudi k uresničevanju cilja zmanjševanje tveganja revščine in povečanje socialne vključenosti na področju posodobitve in povečanja odzivnosti sistema socialnega varstva, ki ga opredeljuje Resolucija o nacionalnem programu socialnega varstva za obdobje 2022-2030.</w:t>
            </w:r>
          </w:p>
          <w:p w14:paraId="01FBCDC9" w14:textId="77777777" w:rsidR="00A77B3E" w:rsidRPr="00DF1E49" w:rsidRDefault="00A77B3E">
            <w:pPr>
              <w:spacing w:before="100"/>
              <w:rPr>
                <w:color w:val="000000"/>
                <w:lang w:val="it-IT"/>
              </w:rPr>
            </w:pPr>
          </w:p>
          <w:p w14:paraId="341259E2" w14:textId="77777777" w:rsidR="00A77B3E" w:rsidRPr="00DF1E49" w:rsidRDefault="005A111E">
            <w:pPr>
              <w:spacing w:before="100"/>
              <w:rPr>
                <w:color w:val="000000"/>
                <w:lang w:val="it-IT"/>
              </w:rPr>
            </w:pPr>
            <w:r w:rsidRPr="00DF1E49">
              <w:rPr>
                <w:color w:val="000000"/>
                <w:lang w:val="it-IT"/>
              </w:rPr>
              <w:t>Program se bo izvajal v obeh kohezijskih regijah Slovenije, pri čemer se Kohezijska regija Zahodna Slovenija (v nadaljevanju: KRZS) uvršča med bolj razvite regije, Kohezijska regija Vzhodna Slovenija (v nadaljevanju: KRZS) pa med manj razvite regije.</w:t>
            </w:r>
          </w:p>
          <w:p w14:paraId="3F0EFFFB" w14:textId="77777777" w:rsidR="00A77B3E" w:rsidRPr="00DF1E49" w:rsidRDefault="00A77B3E">
            <w:pPr>
              <w:spacing w:before="100"/>
              <w:rPr>
                <w:color w:val="000000"/>
                <w:lang w:val="it-IT"/>
              </w:rPr>
            </w:pPr>
          </w:p>
          <w:p w14:paraId="3D7F1899" w14:textId="77777777" w:rsidR="00A77B3E" w:rsidRPr="00DF1E49" w:rsidRDefault="005A111E">
            <w:pPr>
              <w:spacing w:before="100"/>
              <w:rPr>
                <w:color w:val="000000"/>
                <w:lang w:val="it-IT"/>
              </w:rPr>
            </w:pPr>
            <w:r w:rsidRPr="00DF1E49">
              <w:rPr>
                <w:color w:val="000000"/>
                <w:lang w:val="it-IT"/>
              </w:rPr>
              <w:t>Ukrepi, ki se bodo izvajali v okviru Programa, predstavljajo vstopno točko do materialno najbolj ogroženih oseb, in se dopolnjujejo z ukrepi, ki se bodo izvajali v okviru Programa evropske kohezijske politike v obdobju 2021-2027 v Sloveniji, in sicer:</w:t>
            </w:r>
          </w:p>
          <w:p w14:paraId="4FDF8C4F" w14:textId="77777777" w:rsidR="00A77B3E" w:rsidRPr="00DF1E49" w:rsidRDefault="005A111E">
            <w:pPr>
              <w:spacing w:before="100"/>
              <w:rPr>
                <w:color w:val="000000"/>
                <w:lang w:val="it-IT"/>
              </w:rPr>
            </w:pPr>
            <w:r w:rsidRPr="00DF1E49">
              <w:rPr>
                <w:color w:val="000000"/>
                <w:lang w:val="it-IT"/>
              </w:rPr>
              <w:t>- v okviru specifičnega cilja (ESS+) »Spodbujanje socialnega vključevanja oseb, izpostavljenih tveganju revščine ali socialni izključenosti, vključno z najbolj ogroženimi osebami in otroki«: večgeneracijski centri (preventivni programi za zagotavljanje dostopnosti in pluralizacijo storitev za družine, starejše, otroke in mladino s posebnimi potrebami, migrante, Rome, invalide), programi socialnega vključevanja (razvoj socialnih kompetenc, pridobivanje uporabnih znanj in spretnosti, ipd.), večnamenski romski centri (spodbujanje integracije in socialne aktivacije Romov);</w:t>
            </w:r>
          </w:p>
          <w:p w14:paraId="4E168DA9" w14:textId="77777777" w:rsidR="00A77B3E" w:rsidRPr="00DF1E49" w:rsidRDefault="005A111E">
            <w:pPr>
              <w:spacing w:before="100"/>
              <w:rPr>
                <w:color w:val="000000"/>
                <w:lang w:val="it-IT"/>
              </w:rPr>
            </w:pPr>
            <w:r w:rsidRPr="00DF1E49">
              <w:rPr>
                <w:color w:val="000000"/>
                <w:lang w:val="it-IT"/>
              </w:rPr>
              <w:t>- v okviru specifičnega cilja (ESS+) »Pospeševanje dejavnega vključevanja za spodbujanje enakih možnosti, nediskriminacije in aktivne udeležbe ter povečevanje zaposljivosti, zlasti za prikrajšane skupine«: socialna aktivacija z namenom približevanja trgu dela.</w:t>
            </w:r>
          </w:p>
          <w:p w14:paraId="524579DD" w14:textId="77777777" w:rsidR="00A77B3E" w:rsidRPr="00DF1E49" w:rsidRDefault="00A77B3E">
            <w:pPr>
              <w:spacing w:before="100"/>
              <w:rPr>
                <w:color w:val="000000"/>
                <w:lang w:val="it-IT"/>
              </w:rPr>
            </w:pPr>
          </w:p>
          <w:p w14:paraId="4E60FB96" w14:textId="77777777" w:rsidR="00A77B3E" w:rsidRPr="00DF1E49" w:rsidRDefault="005A111E">
            <w:pPr>
              <w:spacing w:before="100"/>
              <w:rPr>
                <w:color w:val="000000"/>
                <w:lang w:val="it-IT"/>
              </w:rPr>
            </w:pPr>
            <w:r w:rsidRPr="00DF1E49">
              <w:rPr>
                <w:b/>
                <w:bCs/>
                <w:color w:val="000000"/>
                <w:u w:val="single"/>
                <w:lang w:val="it-IT"/>
              </w:rPr>
              <w:t>Izzivi, opredeljeni v ustreznih priporočilih za Republiko Slovenijo, ustreznih nacionalnih in regionalnih strategijah Republike Slovenije, vključno s Celovitim nacionalnim energetskim in podnebnim načrtom Republike Slovenije, v povezavi z načeli evropskega stebra socialnih pravic, ter drugimi ustreznimi priporočili Unije, naslovljenimi na Republiko Slovenijo</w:t>
            </w:r>
          </w:p>
          <w:p w14:paraId="79A07D55" w14:textId="77777777" w:rsidR="00A77B3E" w:rsidRPr="00DF1E49" w:rsidRDefault="00A77B3E">
            <w:pPr>
              <w:spacing w:before="100"/>
              <w:rPr>
                <w:color w:val="000000"/>
                <w:lang w:val="it-IT"/>
              </w:rPr>
            </w:pPr>
          </w:p>
          <w:p w14:paraId="1CF52FE6" w14:textId="77777777" w:rsidR="00A77B3E" w:rsidRPr="00DF1E49" w:rsidRDefault="005A111E">
            <w:pPr>
              <w:spacing w:before="100"/>
              <w:rPr>
                <w:color w:val="000000"/>
                <w:lang w:val="it-IT"/>
              </w:rPr>
            </w:pPr>
            <w:r w:rsidRPr="00DF1E49">
              <w:rPr>
                <w:color w:val="000000"/>
                <w:lang w:val="it-IT"/>
              </w:rPr>
              <w:t>V Akcijskem načrtu za evropski steber socialnih pravic Evropske komisije je zagotavljanje dostojnega življenja opredeljeno kot eno izmed prednostnih področij, spodbujanje socialnega vključevanja in boj proti revščini pa navedeni kot temeljni vrednoti načina življenja v Evropi. Stopnja revščine se je v Evropi v zadnjem desetletju zmanjševala, vendar neenakosti temu trendu niso sledile. Relativni dohodek najranljivejših se ni izboljšal. Pandemija COVID-19 povečuje obstoječe neenakosti in nakazuje na morebitne vrzeli v ustreznosti socialne zaščite in upravičenosti do nje. Da bi do leta 2030 dosegli cilj zmanjšanja števila oseb, ki jim grozi revščina ali socialna izključenost, za vsaj 15 milijonov, je ključen celosten pristop, ki bo obravnaval potrebe v vseh fazah življenja in ciljno odpravljal vzroke za revščino in socialno izključenost. Vezano na uresničevanje Akcijskega načrta Evropskega stebra socialnih pravic si je Slovenija zadala cilj zmanjšati število oseb, izpostavljenih tveganju revščine ali socialne izključenosti, do leta 2030, in sicer za najmanj 9.000 oseb, od katerih 3.000 otrok. Eden izmed ukrepov za doseg zastavljenega cilja je blaženje tveganja socialne izključenosti in zviševanje dohodka z zagotavljanjem hrane najbolj ogroženim in krepitev spremljevalnih ukrepov. Evropska komisija v Poročilu o državi 2022 ugotavlja, da Slovenija dosega dobre rezultate pri doseganju socialnih kazalnikov, ki podpirajo evropski steber socialnih pravic, in ima eno izmed najnižjih stopenj tveganja revščine in socialne izključenosti v EU. Program bo tudi pomembno vplival na doseganje ciljev, ki so opredeljeni v Agendi za trajnostni razvoj do leta 2030, in sicer na doseganje cilja 1 odprava vseh oblik revščine in cilja 2 odprava lakote in zagotavljanje prehranske varnosti in boljše prehrane.</w:t>
            </w:r>
          </w:p>
          <w:p w14:paraId="053B5483" w14:textId="77777777" w:rsidR="00A77B3E" w:rsidRPr="00DF1E49" w:rsidRDefault="00A77B3E">
            <w:pPr>
              <w:spacing w:before="100"/>
              <w:rPr>
                <w:color w:val="000000"/>
                <w:lang w:val="it-IT"/>
              </w:rPr>
            </w:pPr>
          </w:p>
          <w:p w14:paraId="5025E3C8" w14:textId="77777777" w:rsidR="00A77B3E" w:rsidRPr="00DF1E49" w:rsidRDefault="005A111E">
            <w:pPr>
              <w:spacing w:before="100"/>
              <w:rPr>
                <w:color w:val="000000"/>
                <w:lang w:val="it-IT"/>
              </w:rPr>
            </w:pPr>
            <w:r w:rsidRPr="00DF1E49">
              <w:rPr>
                <w:b/>
                <w:bCs/>
                <w:color w:val="000000"/>
                <w:u w:val="single"/>
                <w:lang w:val="it-IT"/>
              </w:rPr>
              <w:t>Izzivi v zvezi z upravno zmogljivostjo in upravljanjem ter ukrepi za poenostavitev</w:t>
            </w:r>
          </w:p>
          <w:p w14:paraId="58A0405A" w14:textId="77777777" w:rsidR="00A77B3E" w:rsidRPr="00DF1E49" w:rsidRDefault="00A77B3E">
            <w:pPr>
              <w:spacing w:before="100"/>
              <w:rPr>
                <w:color w:val="000000"/>
                <w:lang w:val="it-IT"/>
              </w:rPr>
            </w:pPr>
          </w:p>
          <w:p w14:paraId="16D1AE97" w14:textId="77777777" w:rsidR="00A77B3E" w:rsidRPr="00DF1E49" w:rsidRDefault="005A111E">
            <w:pPr>
              <w:spacing w:before="100"/>
              <w:rPr>
                <w:color w:val="000000"/>
                <w:lang w:val="it-IT"/>
              </w:rPr>
            </w:pPr>
            <w:r w:rsidRPr="00DF1E49">
              <w:rPr>
                <w:color w:val="000000"/>
                <w:lang w:val="it-IT"/>
              </w:rPr>
              <w:t>Z namenom zagotavljanja učinkovitega upravljanja in izvajanja Programa bo posebna pozornost namenjena krepitvi zmogljivosti organov in upravičencev, izbranih za razdeljevanje pomoči in izvajanje spremljevalnih ukrepov. Izvajali bomo različna usposabljanja in delavnice ter okrepili informiranje in obveščanje tako ključnih deležnikov kot tudi upravičencev in širše javnosti. Posebna pozornost bo namenjena tudi usposabljanju ključnih oseb in deležnikov o spoštovanju in izvajanju Listine EU o temeljnih pravicah in Konvencije Združenih Narodov o pravicah invalidov.</w:t>
            </w:r>
          </w:p>
          <w:p w14:paraId="05238DEF" w14:textId="77777777" w:rsidR="00A77B3E" w:rsidRPr="00DF1E49" w:rsidRDefault="00A77B3E">
            <w:pPr>
              <w:spacing w:before="100"/>
              <w:rPr>
                <w:color w:val="000000"/>
                <w:lang w:val="it-IT"/>
              </w:rPr>
            </w:pPr>
          </w:p>
          <w:p w14:paraId="4008AA58" w14:textId="77777777" w:rsidR="00A77B3E" w:rsidRPr="00DF1E49" w:rsidRDefault="005A111E">
            <w:pPr>
              <w:spacing w:before="100"/>
              <w:rPr>
                <w:color w:val="000000"/>
                <w:lang w:val="it-IT"/>
              </w:rPr>
            </w:pPr>
            <w:r w:rsidRPr="00DF1E49">
              <w:rPr>
                <w:color w:val="000000"/>
                <w:lang w:val="it-IT"/>
              </w:rPr>
              <w:t>Ključno načelo pri oblikovanju sistema izvajanja bo racionalizacija dobavnih verig in sistema spremljanja razdeljevanja pomoči in končnih prejemnikov s ciljem zmanjšati administrativne stroške in upravno breme tako organom kot upravičencem, izbranim za razdeljevanje pomoči in izvajanje spremljevalnih ukrepov, ter preprečiti pretirano reguliranost. Z namenom boljšega obvladovanja cen hrane, bo Ministrstvo za delo, družino, socialne zadeve in enake možnosti (v nadaljevanju: MDDSZ) pred izvedbo postopka javnega naročila za nakup hrane, preverilo najnižje cene primerljivih produktov na trgu in v javnem naročilu podalo usmeritve razpona cen ter si tako prizadevalo pridobiti nižje ponudbe. Po potrebi bodo za izvedbo postopkov naročanja vključeni zunanji pravni strokovnjaki. Poseben poudarek bo namenjen vzpostavitvi IT podpore za vzpostavitev evidence končnih prejemnikov, ki bo MDDSZ in upravičencem, izbranim za razdeljevanje hrane in izvajanje spremljevalnih ukrepov, omogočala lažje spremljanje števila in strukture končnih prejemnikov kot tudi doseganja kazalnikov Programa.</w:t>
            </w:r>
          </w:p>
          <w:p w14:paraId="277BC55E" w14:textId="77777777" w:rsidR="00A77B3E" w:rsidRPr="00DF1E49" w:rsidRDefault="00A77B3E">
            <w:pPr>
              <w:spacing w:before="100"/>
              <w:rPr>
                <w:color w:val="000000"/>
                <w:lang w:val="it-IT"/>
              </w:rPr>
            </w:pPr>
          </w:p>
          <w:p w14:paraId="524F60FE" w14:textId="77777777" w:rsidR="00A77B3E" w:rsidRPr="00DF1E49" w:rsidRDefault="005A111E">
            <w:pPr>
              <w:spacing w:before="100"/>
              <w:rPr>
                <w:color w:val="000000"/>
                <w:lang w:val="it-IT"/>
              </w:rPr>
            </w:pPr>
            <w:r w:rsidRPr="00DF1E49">
              <w:rPr>
                <w:color w:val="000000"/>
                <w:lang w:val="it-IT"/>
              </w:rPr>
              <w:t xml:space="preserve">Več pozornosti bomo namenili usposabljanju upravičencev, izbranih za razdeljevanje pomoči in izvajanje spremljevalnih ukrepov, spremljanju in poročanju ter uporabi informacijskih sistemov, kar bo prispevalo k zmanjšanju administrativnega bremena. MDDSZ bo nadgradilo obstoječe informacijske </w:t>
            </w:r>
            <w:r w:rsidRPr="00DF1E49">
              <w:rPr>
                <w:color w:val="000000"/>
                <w:lang w:val="it-IT"/>
              </w:rPr>
              <w:lastRenderedPageBreak/>
              <w:t>sisteme tako, da bodo omogočali spremljanje in poročanje o doseženih ciljih in kazalnikih, ter oddajo zahtevkov za izplačilo upravičenih stroškov s strani upravičencev. Tekom izvajanja Programa bodo izvedene analize in vrednotenja o uspešnosti in učinkovitosti Programa ter raziskave o strukturi končnih prejemnikov.</w:t>
            </w:r>
          </w:p>
          <w:p w14:paraId="4A48D2CE" w14:textId="77777777" w:rsidR="00A77B3E" w:rsidRPr="00DF1E49" w:rsidRDefault="00A77B3E">
            <w:pPr>
              <w:spacing w:before="100"/>
              <w:rPr>
                <w:color w:val="000000"/>
                <w:lang w:val="it-IT"/>
              </w:rPr>
            </w:pPr>
          </w:p>
          <w:p w14:paraId="66CBFD34" w14:textId="77777777" w:rsidR="00A77B3E" w:rsidRPr="00DF1E49" w:rsidRDefault="005A111E">
            <w:pPr>
              <w:spacing w:before="100"/>
              <w:rPr>
                <w:color w:val="000000"/>
                <w:lang w:val="it-IT"/>
              </w:rPr>
            </w:pPr>
            <w:r w:rsidRPr="00DF1E49">
              <w:rPr>
                <w:color w:val="000000"/>
                <w:lang w:val="it-IT"/>
              </w:rPr>
              <w:t>Z namenom zmanjšanja administrativnega bremena pri preverjanju upravičenosti stroškov operacij bomo uporabljali poenostavljene oblike stroškov, pri čemer :</w:t>
            </w:r>
          </w:p>
          <w:p w14:paraId="3ABDA1F6" w14:textId="77777777" w:rsidR="00A77B3E" w:rsidRPr="00DF1E49" w:rsidRDefault="005A111E">
            <w:pPr>
              <w:numPr>
                <w:ilvl w:val="0"/>
                <w:numId w:val="1"/>
              </w:numPr>
              <w:spacing w:before="100"/>
              <w:rPr>
                <w:color w:val="000000"/>
                <w:lang w:val="it-IT"/>
              </w:rPr>
            </w:pPr>
            <w:r w:rsidRPr="00DF1E49">
              <w:rPr>
                <w:color w:val="000000"/>
                <w:lang w:val="it-IT"/>
              </w:rPr>
              <w:t>skupna vrednost stroškov operacij znaša 28.000.000 EUR prispevka Unije in vključuje pavšal v višini 7 % za stroške razdeljevanja hrane in izvajanje spremljevalnih ukrepov,</w:t>
            </w:r>
          </w:p>
          <w:p w14:paraId="17FB2DB1" w14:textId="77777777" w:rsidR="00A77B3E" w:rsidRPr="00DF1E49" w:rsidRDefault="005A111E">
            <w:pPr>
              <w:numPr>
                <w:ilvl w:val="0"/>
                <w:numId w:val="1"/>
              </w:numPr>
              <w:spacing w:before="100"/>
              <w:rPr>
                <w:color w:val="000000"/>
                <w:lang w:val="it-IT"/>
              </w:rPr>
            </w:pPr>
            <w:r w:rsidRPr="00DF1E49">
              <w:rPr>
                <w:color w:val="000000"/>
                <w:lang w:val="it-IT"/>
              </w:rPr>
              <w:t>vrednost stroškov tehnične pomoči predstavlja 5% pavšal vrednosti stroškov operacij, kar znaša 1.400.000 EUR prispevka Unije.</w:t>
            </w:r>
          </w:p>
          <w:p w14:paraId="1A14922E" w14:textId="77777777" w:rsidR="00A77B3E" w:rsidRPr="00DF1E49" w:rsidRDefault="00A77B3E">
            <w:pPr>
              <w:spacing w:before="100"/>
              <w:rPr>
                <w:color w:val="000000"/>
                <w:lang w:val="it-IT"/>
              </w:rPr>
            </w:pPr>
          </w:p>
          <w:p w14:paraId="2238AF00" w14:textId="77777777" w:rsidR="00A77B3E" w:rsidRPr="00DF1E49" w:rsidRDefault="00A77B3E">
            <w:pPr>
              <w:spacing w:before="100"/>
              <w:rPr>
                <w:color w:val="000000"/>
                <w:lang w:val="it-IT"/>
              </w:rPr>
            </w:pPr>
          </w:p>
          <w:p w14:paraId="739E66FE" w14:textId="77777777" w:rsidR="00A77B3E" w:rsidRPr="00DF1E49" w:rsidRDefault="005A111E">
            <w:pPr>
              <w:spacing w:before="100"/>
              <w:rPr>
                <w:color w:val="000000"/>
                <w:lang w:val="it-IT"/>
              </w:rPr>
            </w:pPr>
            <w:r w:rsidRPr="00DF1E49">
              <w:rPr>
                <w:b/>
                <w:bCs/>
                <w:color w:val="000000"/>
                <w:u w:val="single"/>
                <w:lang w:val="it-IT"/>
              </w:rPr>
              <w:t>Spremljanje in poročanje o izvajanju Programa</w:t>
            </w:r>
          </w:p>
          <w:p w14:paraId="1EE20FDE" w14:textId="77777777" w:rsidR="00A77B3E" w:rsidRPr="00DF1E49" w:rsidRDefault="00A77B3E">
            <w:pPr>
              <w:spacing w:before="100"/>
              <w:rPr>
                <w:color w:val="000000"/>
                <w:lang w:val="it-IT"/>
              </w:rPr>
            </w:pPr>
          </w:p>
          <w:p w14:paraId="61877935" w14:textId="77777777" w:rsidR="00A77B3E" w:rsidRPr="00DF1E49" w:rsidRDefault="005A111E">
            <w:pPr>
              <w:spacing w:before="100"/>
              <w:rPr>
                <w:color w:val="000000"/>
                <w:lang w:val="it-IT"/>
              </w:rPr>
            </w:pPr>
            <w:r w:rsidRPr="00DF1E49">
              <w:rPr>
                <w:color w:val="000000"/>
                <w:lang w:val="it-IT"/>
              </w:rPr>
              <w:t>Spremljanje in poročanje o izvajanju Programa bo potekalo v skladu z določili Uredbe (EU) 2021/1060 in Uredbe (EU) 2021/1057. Podatki za poročanje o doseženih vrednostih kazalnikov Programa bodo temeljili na podatkih MDDSZ in letnih poročil upravičencev, izbranih za razdeljevanje pomoči in izvajanje spremljevalnih ukrepov, ki bodo redno spremljali strukturo končnih prejemnikov in njihovo vključevanje v spremljevalne ukrepe (za potrebe poročanja o doseženih vrednostih kazalnikov rezultata).</w:t>
            </w:r>
          </w:p>
          <w:p w14:paraId="2541E3FC" w14:textId="77777777" w:rsidR="00A77B3E" w:rsidRPr="00DF1E49" w:rsidRDefault="00A77B3E">
            <w:pPr>
              <w:spacing w:before="100"/>
              <w:rPr>
                <w:color w:val="000000"/>
                <w:lang w:val="it-IT"/>
              </w:rPr>
            </w:pPr>
          </w:p>
          <w:p w14:paraId="6BD40C71" w14:textId="77777777" w:rsidR="00A77B3E" w:rsidRPr="00DF1E49" w:rsidRDefault="005A111E">
            <w:pPr>
              <w:spacing w:before="100"/>
              <w:rPr>
                <w:color w:val="000000"/>
                <w:lang w:val="it-IT"/>
              </w:rPr>
            </w:pPr>
            <w:r w:rsidRPr="00DF1E49">
              <w:rPr>
                <w:color w:val="000000"/>
                <w:lang w:val="it-IT"/>
              </w:rPr>
              <w:t>V okviru Programa bomo spremljali kazalnike učinka in rezultata, ki so podrobneje predstavljeni v točki 2.1.1.2.2. Določili smo tudi specifični kazalnik rezultata - delež vključenih končnih prejemnikov v spremljevalne ukrepe, s ciljem doseči 70 % delež vključenosti končnih prejemnikov v spremljevalne ukrepe, kar je primerljiv odstotku vključenih oseb v spremljevalne ukrepe v letu 2021 v okviru Operativnega programa za hrano in/ali osnovno materialno pomoč za podporo iz Sklada za evropsko pomoč najbolj ogroženim (v nadaljevanju: OP MPO). Referenčne vrednosti kazalnikov rezultata temeljijo na povprečju doseženih vrednosti v okviru OP MPO in so v skladu s Smernicami za skupne ESF+ kazalnike, določene le za naslednje kazalnike rezultata: število žensk, število končnih prejemnikov, starejših od 65 let, in število otrok, mlajših od 18 let, saj navedene skupine po zadnjih statističnih podatkih najbolj tvegajo revščino v Sloveniji. Referenčne vrednosti kazalnikov rezultata so med kategorije regij razdeljene v razmerju 60 % za KRVS in 40 % za KRZS. Razmerje temelji na odstotku oseb, izpostavljenih tveganju socialne izključenosti v posamezni kohezijski regiji glede na celotno Slovenijo.</w:t>
            </w:r>
          </w:p>
          <w:p w14:paraId="40EE3958" w14:textId="77777777" w:rsidR="00A77B3E" w:rsidRPr="00DF1E49" w:rsidRDefault="00A77B3E">
            <w:pPr>
              <w:spacing w:before="100"/>
              <w:rPr>
                <w:color w:val="000000"/>
                <w:lang w:val="it-IT"/>
              </w:rPr>
            </w:pPr>
          </w:p>
          <w:p w14:paraId="0E1ACD33" w14:textId="77777777" w:rsidR="00A77B3E" w:rsidRPr="00DF1E49" w:rsidRDefault="005A111E">
            <w:pPr>
              <w:spacing w:before="100"/>
              <w:rPr>
                <w:color w:val="000000"/>
                <w:lang w:val="it-IT"/>
              </w:rPr>
            </w:pPr>
            <w:r w:rsidRPr="00DF1E49">
              <w:rPr>
                <w:color w:val="000000"/>
                <w:lang w:val="it-IT"/>
              </w:rPr>
              <w:t>O napredku (dosežene vrednosti kazalnikov) bomo Evropski komisiji poročali vsako leto do 31. januarja za preteklo leto. Končno poročilo bo Komisiji posredovano do 15. 2. 2031.</w:t>
            </w:r>
          </w:p>
          <w:p w14:paraId="353EC40B" w14:textId="77777777" w:rsidR="00A77B3E" w:rsidRPr="00DF1E49" w:rsidRDefault="00A77B3E">
            <w:pPr>
              <w:spacing w:before="100"/>
              <w:rPr>
                <w:color w:val="000000"/>
                <w:lang w:val="it-IT"/>
              </w:rPr>
            </w:pPr>
          </w:p>
          <w:p w14:paraId="43F39B69" w14:textId="77777777" w:rsidR="00A77B3E" w:rsidRPr="00DF1E49" w:rsidRDefault="005A111E">
            <w:pPr>
              <w:spacing w:before="100"/>
              <w:rPr>
                <w:color w:val="000000"/>
                <w:lang w:val="it-IT"/>
              </w:rPr>
            </w:pPr>
            <w:r w:rsidRPr="00DF1E49">
              <w:rPr>
                <w:color w:val="000000"/>
                <w:lang w:val="it-IT"/>
              </w:rPr>
              <w:t>Enkrat letno bodo organizirana letna pregledovalna srečanja z Evropsko komisijo z namenom pregleda napredka pri izvajanju Programa ter poročanja o skladnosti izvajanja Programa s horizontalnimi omogočitvenimi pogoji. Srečanj se bodo udeležili ključni deležniki, in sicer predstavniki Evropske komisije, organa upravljanja, organa za potrjevanje, revizijskega organa, upravičencev, izbranih za razdeljevanje hrane in izvajanje spremljevalnih ukrepov, organa upravljanja za evropsko kohezijsko politiko, predstavnik ministrstva, pristojnega za kmetijstvo, gozdarstvo in prehrano, Varuha človekovih pravic in Sveta za invalide.</w:t>
            </w:r>
          </w:p>
          <w:p w14:paraId="739DD492" w14:textId="77777777" w:rsidR="00A77B3E" w:rsidRPr="00DF1E49" w:rsidRDefault="00A77B3E">
            <w:pPr>
              <w:spacing w:before="100"/>
              <w:rPr>
                <w:color w:val="000000"/>
                <w:lang w:val="it-IT"/>
              </w:rPr>
            </w:pPr>
          </w:p>
          <w:p w14:paraId="08F0E58B" w14:textId="77777777" w:rsidR="00A77B3E" w:rsidRPr="00DF1E49" w:rsidRDefault="005A111E">
            <w:pPr>
              <w:spacing w:before="100"/>
              <w:rPr>
                <w:color w:val="000000"/>
                <w:lang w:val="it-IT"/>
              </w:rPr>
            </w:pPr>
            <w:r w:rsidRPr="00DF1E49">
              <w:rPr>
                <w:color w:val="000000"/>
                <w:lang w:val="it-IT"/>
              </w:rPr>
              <w:t>Vrednotenje vpliva Programa bo izvedeno najkasneje od 30. 6. 2029. Strukturirana raziskava končnih prejemnikov bo izvedena dvakrat v obdobju izvajanja, in sicer do 30. 6. 2025 in do 30. 6. 2028.</w:t>
            </w:r>
          </w:p>
          <w:p w14:paraId="1CA2CCC1" w14:textId="77777777" w:rsidR="00A77B3E" w:rsidRPr="00DF1E49" w:rsidRDefault="00A77B3E">
            <w:pPr>
              <w:spacing w:before="100"/>
              <w:rPr>
                <w:color w:val="000000"/>
                <w:lang w:val="it-IT"/>
              </w:rPr>
            </w:pPr>
          </w:p>
          <w:p w14:paraId="2C95D7FD" w14:textId="77777777" w:rsidR="00A77B3E" w:rsidRPr="00DF1E49" w:rsidRDefault="005A111E">
            <w:pPr>
              <w:spacing w:before="100"/>
              <w:rPr>
                <w:color w:val="000000"/>
                <w:lang w:val="it-IT"/>
              </w:rPr>
            </w:pPr>
            <w:r w:rsidRPr="00DF1E49">
              <w:rPr>
                <w:b/>
                <w:bCs/>
                <w:color w:val="000000"/>
                <w:u w:val="single"/>
                <w:lang w:val="it-IT"/>
              </w:rPr>
              <w:t>Spoznanja iz preteklih izkušenj</w:t>
            </w:r>
          </w:p>
          <w:p w14:paraId="0B8BD084" w14:textId="77777777" w:rsidR="00A77B3E" w:rsidRPr="00DF1E49" w:rsidRDefault="00A77B3E">
            <w:pPr>
              <w:spacing w:before="100"/>
              <w:rPr>
                <w:color w:val="000000"/>
                <w:lang w:val="it-IT"/>
              </w:rPr>
            </w:pPr>
          </w:p>
          <w:p w14:paraId="0DCB15FF" w14:textId="77777777" w:rsidR="00A77B3E" w:rsidRPr="00DF1E49" w:rsidRDefault="005A111E">
            <w:pPr>
              <w:spacing w:before="100"/>
              <w:rPr>
                <w:color w:val="000000"/>
                <w:lang w:val="it-IT"/>
              </w:rPr>
            </w:pPr>
            <w:r w:rsidRPr="00DF1E49">
              <w:rPr>
                <w:color w:val="000000"/>
                <w:lang w:val="it-IT"/>
              </w:rPr>
              <w:t>Slovenija ukrep za materialno pomoč najbolj ogroženim na podlagi OP MPO, izvaja od leta 2014. Organ upravljanja OP MPO je MDDSZ. Ukrep prispeva k blaženju najhujših oblik revščine z zagotavljanjem pomoči v obliki paketov s hrano ter z izvajanjem različnih spremljevalnih ukrepov. Z zagotavljanjem hrane se skuša odpravljati najbolj skrajne oblike materialne prikrajšanosti, medtem ko spremljevalni ukrepi spodbujajo socialno vključevanje oseb, izpostavljenih tveganju revščine ali socialne izključenosti. MDDSZ je v obdobju od leta 2014 do leta 2020 nabavilo več kot 24.000 ton hrane (moka, riž, olje, testenine, mleko, konzervirana zelenjava), ki jo najbolj ogroženim osebam, v obliki paketov s hrano, delita na javnem razpisu izbrani partnerski organizaciji, Rdeči križ Slovenije - Zveza združenj in Slovenska karitas, in sicer na več kot 370 razdelilnih mestih. V letih 2015 in 2016 je pomoč v hrani prejemalo okoli 180.000 oseb letno, leta 2017 pa je njihovo število pričelo upadati (izjema je leto 2020, ko je število končnih prejemnikov nekoliko naraslo). V letu 2021 je pomoč prejelo 150.825 oseb. Med končnimi prejemniki je večina žensk in otrok, starih 15 let ali manj. Ukrep v Sloveniji predstavlja enega izmed ključnih ukrepov za blaženje socialnih stisk ljudi, saj predstavlja okoli 60 % vse hrane, ki jo partnerski organizaciji razdelita svojim končnim prejemnikom. Partnerski organizaciji izvajata tudi različne spremljevalne ukrepe (podporo družinam in posameznikom pri srečevanju z vsakodnevnimi težavami, individualno psihosocialno svetovanje in pomoč, krepitev socialnih veščin, ipd.) v katere je bilo v prvih letih vključenih letno okoli 25 % končnih prejemnikov, nato pa je delež vključenosti pričel naraščati. V letu 2021 partnerski organizaciji beležita že več kot 70 % udeležbo končnih prejemnikov v različne spremljevalne ukrepe.</w:t>
            </w:r>
          </w:p>
          <w:p w14:paraId="43179A66" w14:textId="77777777" w:rsidR="00A77B3E" w:rsidRPr="00DF1E49" w:rsidRDefault="00A77B3E">
            <w:pPr>
              <w:spacing w:before="100"/>
              <w:rPr>
                <w:color w:val="000000"/>
                <w:lang w:val="it-IT"/>
              </w:rPr>
            </w:pPr>
          </w:p>
          <w:p w14:paraId="7B8B0ED2" w14:textId="77777777" w:rsidR="00A77B3E" w:rsidRPr="00DF1E49" w:rsidRDefault="005A111E">
            <w:pPr>
              <w:spacing w:before="100"/>
              <w:rPr>
                <w:color w:val="000000"/>
                <w:lang w:val="it-IT"/>
              </w:rPr>
            </w:pPr>
            <w:r w:rsidRPr="00DF1E49">
              <w:rPr>
                <w:color w:val="000000"/>
                <w:lang w:val="it-IT"/>
              </w:rPr>
              <w:t>Anketa med humanitarnimi organizacijami, ki jo je izvedlo MDDSZ konec leta 2019, je pokazala, da ukrep učinkovito pomaga najbolj ogroženim osebam, saj prejeta hrana razbremenjuje stroške gospodinjstev, vpliva na obseg oskrbe posameznikov in družin s hrano ter predstavlja priložnost za urejanje socialnih stisk najbolj ogroženih. Strukturirana raziskava končnih prejemnikov, ki jo je MDDSZ izvedlo v letu 2019, je pokazala, da je pomoč vplivala na 74,6 % vprašanih oziroma članov njihovega gospodinjstva. Pri tistih, na katere pomoč ni vplivala oziroma je deloma vplivala, kot najpogostejši razlog navajajo ne dovolj pogosto razdeljevanje hrane oz. dobrin (63,0 %). Tri četrtine končnih prejemnikov (74,9 %) si pred letom dni ni mogla privoščiti dobrin/hrane, ki jo je takrat prejela iz OP MPO, tovrstne dobrine oziroma hrano, pa si je leto pred tem lahko privoščila slaba petina (19,2 %) anketiranih. Tretjina končnih prejemnikov (32,0 %) prejema pomoč tudi od drugih organizacij, pri čemer gre v večini primerov za pakete hrane (96,4 %), oblačila (27,5 %), pisarniški material, delovne zvezke in opremo za šolo (13,0 %). Med končnimi prejemniki, ki prejemajo ali so prejeli svetovanje in usmerjanje, je dobra četrtina takih (28,3 %), ki so bili napoteni na pristojne službe. Svetovanje o upravljanju družinskega proračuna je prejelo 14,2 % končnih prejemnikov, ki so prejeli svetovanje oziroma usmerjanje. Polovica končnih prejemnikov (53,7 %), ki so bili deležni svetovanja, ocenjuje to svetovanje kot zelo koristno ali dokaj koristno.</w:t>
            </w:r>
          </w:p>
          <w:p w14:paraId="20C49157" w14:textId="77777777" w:rsidR="00A77B3E" w:rsidRPr="00DF1E49" w:rsidRDefault="00A77B3E">
            <w:pPr>
              <w:spacing w:before="100"/>
              <w:rPr>
                <w:color w:val="000000"/>
                <w:lang w:val="it-IT"/>
              </w:rPr>
            </w:pPr>
          </w:p>
          <w:p w14:paraId="3008849B" w14:textId="77777777" w:rsidR="00A77B3E" w:rsidRPr="00DF1E49" w:rsidRDefault="005A111E">
            <w:pPr>
              <w:spacing w:before="100"/>
              <w:rPr>
                <w:color w:val="000000"/>
                <w:lang w:val="it-IT"/>
              </w:rPr>
            </w:pPr>
            <w:r w:rsidRPr="00DF1E49">
              <w:rPr>
                <w:color w:val="000000"/>
                <w:lang w:val="it-IT"/>
              </w:rPr>
              <w:t xml:space="preserve">Inštitut Republike Slovenije za socialno varstvo (v nadaljevanju: IRSSV) v Poročilu o socialnem položaju 2018-2019 v Sloveniji (v nadaljevanju: Poročilo), v katerem je bilo eno izmed poglavij namenjeno analizi učinkov OP MPO, ugotavlja, da se v Sloveniji večji del nefinančne pomoči posameznikom in gospodinjstvom zagotavlja ravno v okviru OP MPO. Prej navedeno Anketo med humanitarnimi organizacijami je IRSSV v Poročilu podrobneje sintetiziral in ugotovil, da so humanitarne organizacije mnenja, da so ukrepi materialne pomoči pomembni, obenem pa imajo spremljevalni ukrepi pomembno vlogo za socialno vključenost najbolj ranljivih, vendar pa izvajanje presega kadrovske in strokovne zmožnosti humanitarnih organizacij, katerih delo v veliki meri temelji na prostovoljcih. Nevladni sektor ima pomembno vlogo pri zagotavljanju pomoči najbolj ranljivim, vendar pa bi bilo pri obravnavi uporabnikov potrebno okrepiti sodelovanje nevladnih in humanitarnih organizacij z javnimi ustanovami (center za socialno delo, ZRSZ), ki izvajajo socialne in druge storitve, ter ob tem centrom za socialno delo (v nadaljevanju: CSD) zagotoviti ustrezne delovne pogoje. Za bolj </w:t>
            </w:r>
            <w:r w:rsidRPr="00DF1E49">
              <w:rPr>
                <w:color w:val="000000"/>
                <w:lang w:val="it-IT"/>
              </w:rPr>
              <w:lastRenderedPageBreak/>
              <w:t>učinkovito izvajanje OP MPO je bilo predlagano, da se več pozornosti nameni obveščanju oseb, ki potrebujejo pomoč, o ukrepih in oblikah pomoči, ki so na voljo, ter o načinu dostopa do pomoči. Obenem pa je potrebno izvajanje usmeriti v razblinjanje predsodkov pri osebah, ki imajo zadržke prositi za pomoč.</w:t>
            </w:r>
          </w:p>
          <w:p w14:paraId="51D40B85" w14:textId="77777777" w:rsidR="00A77B3E" w:rsidRPr="00DF1E49" w:rsidRDefault="00A77B3E">
            <w:pPr>
              <w:spacing w:before="100"/>
              <w:rPr>
                <w:color w:val="000000"/>
                <w:lang w:val="it-IT"/>
              </w:rPr>
            </w:pPr>
          </w:p>
          <w:p w14:paraId="4ECAC5A8" w14:textId="77777777" w:rsidR="00A77B3E" w:rsidRPr="00DF1E49" w:rsidRDefault="005A111E">
            <w:pPr>
              <w:spacing w:before="100"/>
              <w:rPr>
                <w:color w:val="000000"/>
                <w:lang w:val="it-IT"/>
              </w:rPr>
            </w:pPr>
            <w:r w:rsidRPr="00DF1E49">
              <w:rPr>
                <w:color w:val="000000"/>
                <w:lang w:val="it-IT"/>
              </w:rPr>
              <w:t>Iz vmesnega Poročila o socialnem položaju v Slovenji 2020-2021, ki ga je pripravil IRSSV, je razvidno, da je relativno ugodno gospodarsko napoved za naslednja leta marca 2020 prekinila epidemija COVID-19. Gospodarska aktivnost je bila v Sloveniji v prvem polletju 2020 za skoraj 8 % nižja kot v enakem obdobju 2019, še posebej izrazito se je zmanjšala v drugem četrtletju 2020, ko je bil medletni upad BDP 13 %. Upad gospodarske aktivnosti zaradi epidemije COVID-19 se je odrazil tudi na trgu dela. Število brezposelnih se je povečalo, prav tako število zaposlenih, ki so (bili) na čakanju na delo. V obdobju prvih devetih mesecev (januar – september) leta 2020 se je v evidenco brezposelnih na novo prijavilo 74.222 oseb, kar je za 22.842 oseb oz. 44,5 % več kot v enakem obdobju 2019. V letu 2021 so se razmere na trgu dela (kljub epidemiji) izboljšale in je bilo povpraševanja po delovni sili več. Odliv iz brezposelnosti je po januarju 2021 višji od priliva novih iskalcev zaposlitve. Od januarja 2021, ko je bilo registrirano brezposelnih kar 91.499 oseb, število brezposelnih konstantno upada in je avgusta 2021 znašalo 69.292 oseb. V letu 2020 je povprečni letni (neto) razpoložljivi dohodek na gospodinjstvo znašal 25.804 evre in je bil za 1.079 evrov višji kot v letu 2019. V letu 2020 se je prag tveganja revščine v Sloveniji v primerjavi z letom 2019 dvignil za 36 evrov. Leta 2020 je z dohodki pod pragom tveganja revščine v Sloveniji živelo 254.000 oseb, kar je 11.000 oseb več kot leta 2019. V letu 2020 tvega socialno izključenost v Sloveniji 309.000 oseb, kar je 16.000 več kot leto pred tem. V povprečju je DSP v letu 2020 prejemalo mesečno 99.332 oseb, v prvih sedmih mesecih leta 2021 pa povprečno mesečno 107.751 oseb. Število prejemnikov in upravičencev do DSP je doseglo vrh v mesecih od februarja do maja 2021, ko je bilo upravičencev do DSP več kot 110.000, v marcu in aprilu celo več kot 111.000.</w:t>
            </w:r>
          </w:p>
          <w:p w14:paraId="540D9DCA" w14:textId="77777777" w:rsidR="00A77B3E" w:rsidRPr="00DF1E49" w:rsidRDefault="00A77B3E">
            <w:pPr>
              <w:spacing w:before="100"/>
              <w:rPr>
                <w:color w:val="000000"/>
                <w:lang w:val="it-IT"/>
              </w:rPr>
            </w:pPr>
          </w:p>
          <w:p w14:paraId="296B2D78" w14:textId="77777777" w:rsidR="00A77B3E" w:rsidRPr="00DF1E49" w:rsidRDefault="005A111E">
            <w:pPr>
              <w:spacing w:before="100"/>
              <w:rPr>
                <w:color w:val="000000"/>
                <w:lang w:val="it-IT"/>
              </w:rPr>
            </w:pPr>
            <w:r w:rsidRPr="00DF1E49">
              <w:rPr>
                <w:color w:val="000000"/>
                <w:lang w:val="it-IT"/>
              </w:rPr>
              <w:t>Vmesno vrednotenje OP MPO, ki je bilo izvedeno v letu 2019, je pokazalo, da je stroškovna učinkovitost izvajanja OP MPO maksimalna. Pri postopku naročanja hrane bi bile možne določene izboljšave, predvsem pri pridobivanju ugodnejših cen izdelkov. Ugotovljeno je bilo, da na doseganje učinkov izvajanja OP MPO vpliva predvsem način vodenja evidenc obeh partnerskih organizacij, saj le-ti evidence končnih prejemnikov vodita ločeno. Predlagano je bilo poenotenje sistemov ali izvedba medsebojnih povezav baz podatkov med partnerskimi organizacijami in CSD. Predlagano je bilo tudi, da seznam končnih prejemnikov pripravi pristojna organizacija, s čimer bi se razbremenilo partnerske organizacije. Večjih administrativnih bremen tako na strani MDDSZ kot na strani partnerskih organizacij ni bilo zaznati, optimizacija bi bila mogoča le z vzpostavitvijo baze upravičencev do pomoči. Spremljevalni ukrepi pomagajo pri socialnem vključevanju končnih prejemnikov, težko pa govorimo o dejanskem napredku, saj je učinke izvajanja zelo težko ali praktično nemogoče izmeriti. Predlagano je bilo poenotenje tematike in načina izvajanja spremljevalnih ukrepov pri izbranih partnerskih organizacijah. MDDSZ naj jasno določi, katere aktivnosti spadajo v izvajanje spremljevalnih ukrepov in katere ne. Predlagana je bila preučitev možnosti financiranja ali sofinanciranja izvajanja spremljevalnih ukrepov iz sredstev Evropskega socialnega sklada.</w:t>
            </w:r>
          </w:p>
          <w:p w14:paraId="0FBC1B54" w14:textId="77777777" w:rsidR="00A77B3E" w:rsidRPr="00DF1E49" w:rsidRDefault="00A77B3E">
            <w:pPr>
              <w:spacing w:before="100"/>
              <w:rPr>
                <w:color w:val="000000"/>
                <w:lang w:val="it-IT"/>
              </w:rPr>
            </w:pPr>
          </w:p>
        </w:tc>
      </w:tr>
    </w:tbl>
    <w:p w14:paraId="168A7AE9" w14:textId="77777777" w:rsidR="00A77B3E" w:rsidRPr="00DF1E49" w:rsidRDefault="00A77B3E">
      <w:pPr>
        <w:spacing w:before="100"/>
        <w:rPr>
          <w:color w:val="000000"/>
          <w:lang w:val="it-IT"/>
        </w:rPr>
        <w:sectPr w:rsidR="00A77B3E" w:rsidRPr="00DF1E49">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14:paraId="5999F810" w14:textId="77777777" w:rsidR="00A77B3E" w:rsidRPr="00DF1E49" w:rsidRDefault="005A111E">
      <w:pPr>
        <w:spacing w:before="100"/>
        <w:rPr>
          <w:color w:val="000000"/>
          <w:lang w:val="it-IT"/>
        </w:rPr>
      </w:pPr>
      <w:r w:rsidRPr="00DF1E49">
        <w:rPr>
          <w:color w:val="000000"/>
          <w:lang w:val="it-IT"/>
        </w:rPr>
        <w:lastRenderedPageBreak/>
        <w:t>1. Strategija programa: glavni izzivi in odzivi politik</w:t>
      </w:r>
    </w:p>
    <w:p w14:paraId="02CE593B" w14:textId="77777777" w:rsidR="00A77B3E" w:rsidRPr="00DF1E49" w:rsidRDefault="00A77B3E">
      <w:pPr>
        <w:spacing w:before="100"/>
        <w:rPr>
          <w:color w:val="000000"/>
          <w:sz w:val="0"/>
          <w:lang w:val="it-IT"/>
        </w:rPr>
      </w:pPr>
    </w:p>
    <w:p w14:paraId="4141D0A0" w14:textId="77777777" w:rsidR="00A77B3E" w:rsidRDefault="005A111E">
      <w:pPr>
        <w:pStyle w:val="Naslov2"/>
        <w:spacing w:before="100" w:after="0"/>
        <w:rPr>
          <w:rFonts w:ascii="Times New Roman" w:hAnsi="Times New Roman" w:cs="Times New Roman"/>
          <w:b w:val="0"/>
          <w:i w:val="0"/>
          <w:color w:val="000000"/>
          <w:sz w:val="24"/>
        </w:rPr>
      </w:pPr>
      <w:bookmarkStart w:id="1" w:name="_Toc256000060"/>
      <w:r>
        <w:rPr>
          <w:rFonts w:ascii="Times New Roman" w:hAnsi="Times New Roman" w:cs="Times New Roman"/>
          <w:b w:val="0"/>
          <w:i w:val="0"/>
          <w:color w:val="000000"/>
          <w:sz w:val="24"/>
        </w:rPr>
        <w:t>Tabela 1</w:t>
      </w:r>
      <w:bookmarkEnd w:id="1"/>
    </w:p>
    <w:p w14:paraId="14ED59B4"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058"/>
        <w:gridCol w:w="5055"/>
      </w:tblGrid>
      <w:tr w:rsidR="00DE13D3" w14:paraId="442F18FE" w14:textId="77777777">
        <w:trPr>
          <w:trHeight w:val="160"/>
          <w:tblHeader/>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97151F" w14:textId="77777777" w:rsidR="00A77B3E" w:rsidRPr="00DF1E49" w:rsidRDefault="005A111E">
            <w:pPr>
              <w:spacing w:before="100"/>
              <w:jc w:val="center"/>
              <w:rPr>
                <w:color w:val="000000"/>
                <w:lang w:val="it-IT"/>
              </w:rPr>
            </w:pPr>
            <w:r w:rsidRPr="00DF1E49">
              <w:rPr>
                <w:color w:val="000000"/>
                <w:lang w:val="it-IT"/>
              </w:rPr>
              <w:t>Cilj politike ali specifični cilj SPP</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123215" w14:textId="77777777" w:rsidR="00A77B3E" w:rsidRPr="00DF1E49" w:rsidRDefault="005A111E">
            <w:pPr>
              <w:spacing w:before="100"/>
              <w:jc w:val="center"/>
              <w:rPr>
                <w:color w:val="000000"/>
                <w:lang w:val="it-IT"/>
              </w:rPr>
            </w:pPr>
            <w:r w:rsidRPr="00DF1E49">
              <w:rPr>
                <w:color w:val="000000"/>
                <w:lang w:val="it-IT"/>
              </w:rPr>
              <w:t>Specifični cilj ali namenska prednostna naloga *</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183828" w14:textId="77777777" w:rsidR="00A77B3E" w:rsidRDefault="005A111E">
            <w:pPr>
              <w:spacing w:before="100"/>
              <w:jc w:val="center"/>
              <w:rPr>
                <w:color w:val="000000"/>
              </w:rPr>
            </w:pPr>
            <w:r>
              <w:rPr>
                <w:color w:val="000000"/>
              </w:rPr>
              <w:t>Utemeljitev (Povzetek)</w:t>
            </w:r>
          </w:p>
        </w:tc>
      </w:tr>
      <w:tr w:rsidR="00DE13D3" w:rsidRPr="00DF1E49" w14:paraId="56AA8A21" w14:textId="77777777">
        <w:trPr>
          <w:trHeight w:val="16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EA688" w14:textId="77777777" w:rsidR="00A77B3E" w:rsidRDefault="005A111E">
            <w:pPr>
              <w:spacing w:before="100"/>
              <w:rPr>
                <w:color w:val="000000"/>
              </w:rPr>
            </w:pPr>
            <w:r>
              <w:rPr>
                <w:color w:val="000000"/>
              </w:rPr>
              <w:t>4. Bolj socialna in vključujoča Evropa za izvajanje evropskega stebra socialnih pravic</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79C94" w14:textId="77777777" w:rsidR="00A77B3E" w:rsidRDefault="005A111E">
            <w:pPr>
              <w:spacing w:before="100"/>
              <w:rPr>
                <w:color w:val="000000"/>
              </w:rPr>
            </w:pPr>
            <w:r>
              <w:rPr>
                <w:color w:val="000000"/>
              </w:rPr>
              <w:t>MD13. Podpora najbolj ogroženim v okviru specifičnega cilja iz člena 4(1)(m) uredbe o ESS+ (ESO.4.13)</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EA631" w14:textId="77777777" w:rsidR="00A77B3E" w:rsidRPr="00DF1E49" w:rsidRDefault="005A111E">
            <w:pPr>
              <w:spacing w:before="100"/>
              <w:rPr>
                <w:color w:val="000000"/>
                <w:lang w:val="it-IT"/>
              </w:rPr>
            </w:pPr>
            <w:r>
              <w:rPr>
                <w:color w:val="000000"/>
              </w:rPr>
              <w:t xml:space="preserve">Zagotavljanje hrane najbolj ogroženim osebam in krepitev spremljevalnih ukrepov je eden izmed ključnih ukrepov Slovenije za doseganje cilja zmanjšati število oseb, izpostavljenih tveganju socialne izključenosti do leta 2030 v okviru uresničevanja Akcijskega načrta Evropskega stebra socialnih pravic. Po podatkih Eurostat za leto 2020 je stopnja tveganja revščine ali socialne izključenosti v Sloveniji znašala 14,3 %, kar je pod povprečjem EU-27. Po podatkih SURS je leta 2020 z dohodkom, nižjim od praga revščine, še vedno živelo 12,4 % prebivalcev. KRVS izkazuje višjo stopnjo tveganja revščine in socialne izključenosti, leta 2020 je tu znašala 14,1 % (v KRZS 10,3 %), stopnja resne materialne prikrajšanosti 4,0 % (v KRZS 1,9 %), stopnja nizke delovne aktivnosti pa 5,6 % (v KRZS 3,8 %). Skupaj je bilo v KRVS tveganju socialne izključenosti izpostavljenih 17,2 % oseb (v KRZS pa 12,5 %). V KRVS je glede na celotno Slovenijo pod mejo tveganja revščine leta 2020 živelo 61,5 % oseb, v KRZS pa 38,5 %. Število oseb, izpostavljenih tveganju socialne izključenosti je bilo v letu 2020 309.000, od katerih je bilo kar 61,5 % oseb iz KRVS, 38,5 % pa iz KRZS, zato se sredstva za izvajanje Programa delijo v razmerju 60 % za KRVS in 40 % za KRZS. Epidemija COVID-19 je v letu 2020 socialni položaj nekoliko poslabšala, saj se je število prejemnikov DSP zvišalo. </w:t>
            </w:r>
            <w:r w:rsidRPr="00DF1E49">
              <w:rPr>
                <w:color w:val="000000"/>
                <w:lang w:val="it-IT"/>
              </w:rPr>
              <w:t xml:space="preserve">Število DSP se je v drugi polovici leta </w:t>
            </w:r>
            <w:r w:rsidRPr="00DF1E49">
              <w:rPr>
                <w:color w:val="000000"/>
                <w:lang w:val="it-IT"/>
              </w:rPr>
              <w:lastRenderedPageBreak/>
              <w:t xml:space="preserve">2021 začelo zmanjševati. Trenutno število prejemnikov je primerljivo s številom v letu 2018, vendar pa lahko vpliv epidemije COVID-19 in vojna v Ukrajini poslabšata socialni položaj prebivalstva v prihodnje. Ključni cilj Programa je tako najbolj ogroženim osebam zagotavljati kontinuirano pomoč v obliki hrane ter različne spremljevalne ukrepe, ki bodo namenjeni obravnavanju njihove socialne izključenosti in bodo prispevali k izkoreninjenju revščine. </w:t>
            </w:r>
          </w:p>
        </w:tc>
      </w:tr>
    </w:tbl>
    <w:p w14:paraId="6781F624" w14:textId="77777777" w:rsidR="00A77B3E" w:rsidRPr="00DF1E49" w:rsidRDefault="005A111E">
      <w:pPr>
        <w:spacing w:before="100"/>
        <w:rPr>
          <w:color w:val="000000"/>
          <w:lang w:val="it-IT"/>
        </w:rPr>
        <w:sectPr w:rsidR="00A77B3E" w:rsidRPr="00DF1E49">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864" w:left="936" w:header="288" w:footer="72" w:gutter="0"/>
          <w:cols w:space="720"/>
          <w:noEndnote/>
          <w:docGrid w:linePitch="360"/>
        </w:sectPr>
      </w:pPr>
      <w:r w:rsidRPr="00DF1E49">
        <w:rPr>
          <w:color w:val="000000"/>
          <w:lang w:val="it-IT"/>
        </w:rPr>
        <w:lastRenderedPageBreak/>
        <w:t>* Namenske prednostne naloge v skladu z uredbo o ESS+</w:t>
      </w:r>
    </w:p>
    <w:p w14:paraId="7FCCC154" w14:textId="77777777" w:rsidR="00A77B3E" w:rsidRDefault="005A111E">
      <w:pPr>
        <w:pStyle w:val="Naslov1"/>
        <w:spacing w:before="100" w:after="0"/>
        <w:rPr>
          <w:rFonts w:ascii="Times New Roman" w:hAnsi="Times New Roman" w:cs="Times New Roman"/>
          <w:b w:val="0"/>
          <w:color w:val="000000"/>
          <w:sz w:val="24"/>
        </w:rPr>
      </w:pPr>
      <w:bookmarkStart w:id="2" w:name="_Toc256000061"/>
      <w:r>
        <w:rPr>
          <w:rFonts w:ascii="Times New Roman" w:hAnsi="Times New Roman" w:cs="Times New Roman"/>
          <w:b w:val="0"/>
          <w:color w:val="000000"/>
          <w:sz w:val="24"/>
        </w:rPr>
        <w:lastRenderedPageBreak/>
        <w:t>2. Prednostne naloge</w:t>
      </w:r>
      <w:bookmarkEnd w:id="2"/>
    </w:p>
    <w:p w14:paraId="6D21B630" w14:textId="77777777" w:rsidR="00A77B3E" w:rsidRDefault="00A77B3E">
      <w:pPr>
        <w:spacing w:before="100"/>
        <w:rPr>
          <w:color w:val="000000"/>
          <w:sz w:val="0"/>
        </w:rPr>
      </w:pPr>
    </w:p>
    <w:p w14:paraId="41574740" w14:textId="77777777" w:rsidR="00A77B3E" w:rsidRDefault="005A111E">
      <w:pPr>
        <w:spacing w:before="100"/>
        <w:rPr>
          <w:color w:val="000000"/>
          <w:sz w:val="0"/>
        </w:rPr>
      </w:pPr>
      <w:r>
        <w:rPr>
          <w:color w:val="000000"/>
        </w:rPr>
        <w:t>Sklic: člen 22(2) in člen 22(3(c) uredbe o skupnih določbah</w:t>
      </w:r>
    </w:p>
    <w:p w14:paraId="4C5526CF"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3" w:name="_Toc256000062"/>
      <w:r w:rsidRPr="00DF1E49">
        <w:rPr>
          <w:rFonts w:ascii="Times New Roman" w:hAnsi="Times New Roman" w:cs="Times New Roman"/>
          <w:b w:val="0"/>
          <w:i w:val="0"/>
          <w:color w:val="000000"/>
          <w:sz w:val="24"/>
          <w:lang w:val="it-IT"/>
        </w:rPr>
        <w:t>2.1. Prednostne naloge, razen tehnične pomoči</w:t>
      </w:r>
      <w:bookmarkEnd w:id="3"/>
    </w:p>
    <w:p w14:paraId="79BEB4C1" w14:textId="77777777" w:rsidR="00A77B3E" w:rsidRPr="00DF1E49" w:rsidRDefault="00A77B3E">
      <w:pPr>
        <w:spacing w:before="100"/>
        <w:rPr>
          <w:color w:val="000000"/>
          <w:sz w:val="0"/>
          <w:lang w:val="it-IT"/>
        </w:rPr>
      </w:pPr>
    </w:p>
    <w:p w14:paraId="24293CFC" w14:textId="77777777" w:rsidR="00A77B3E" w:rsidRPr="00DF1E49" w:rsidRDefault="005A111E">
      <w:pPr>
        <w:pStyle w:val="Naslov3"/>
        <w:spacing w:before="100" w:after="0"/>
        <w:rPr>
          <w:rFonts w:ascii="Times New Roman" w:hAnsi="Times New Roman" w:cs="Times New Roman"/>
          <w:b w:val="0"/>
          <w:color w:val="000000"/>
          <w:sz w:val="24"/>
          <w:lang w:val="it-IT"/>
        </w:rPr>
      </w:pPr>
      <w:bookmarkStart w:id="4" w:name="_Toc256000063"/>
      <w:r w:rsidRPr="00DF1E49">
        <w:rPr>
          <w:rFonts w:ascii="Times New Roman" w:hAnsi="Times New Roman" w:cs="Times New Roman"/>
          <w:b w:val="0"/>
          <w:color w:val="000000"/>
          <w:sz w:val="24"/>
          <w:lang w:val="it-IT"/>
        </w:rPr>
        <w:t>2.1.1. Prednostna naloga: 1. Odpravljanje materialne prikrajšanosti (Podpora najbolj ogroženim v okviru specifičnega cilja iz člena 4(1)(m) uredbe o ESS+ (ESO.4.13))</w:t>
      </w:r>
      <w:bookmarkEnd w:id="4"/>
    </w:p>
    <w:p w14:paraId="5D15668A" w14:textId="77777777" w:rsidR="00A77B3E" w:rsidRPr="00DF1E49" w:rsidRDefault="00A77B3E">
      <w:pPr>
        <w:spacing w:before="100"/>
        <w:rPr>
          <w:color w:val="000000"/>
          <w:sz w:val="0"/>
          <w:lang w:val="it-IT"/>
        </w:rPr>
      </w:pPr>
    </w:p>
    <w:p w14:paraId="190B918E" w14:textId="77777777" w:rsidR="00A77B3E" w:rsidRPr="00DF1E49" w:rsidRDefault="005A111E">
      <w:pPr>
        <w:pStyle w:val="Naslov4"/>
        <w:spacing w:before="100" w:after="0"/>
        <w:rPr>
          <w:b w:val="0"/>
          <w:color w:val="000000"/>
          <w:sz w:val="24"/>
          <w:lang w:val="it-IT"/>
        </w:rPr>
      </w:pPr>
      <w:bookmarkStart w:id="5" w:name="_Toc256000064"/>
      <w:r w:rsidRPr="00DF1E49">
        <w:rPr>
          <w:b w:val="0"/>
          <w:color w:val="000000"/>
          <w:sz w:val="24"/>
          <w:lang w:val="it-IT"/>
        </w:rPr>
        <w:t>2.1.1.2. Specifični cilj: ESO4.13. Odpravljanje materialne prikrajšanosti</w:t>
      </w:r>
      <w:bookmarkEnd w:id="5"/>
    </w:p>
    <w:p w14:paraId="6BDBAAC2" w14:textId="77777777" w:rsidR="00A77B3E" w:rsidRPr="00DF1E49" w:rsidRDefault="00A77B3E">
      <w:pPr>
        <w:spacing w:before="100"/>
        <w:rPr>
          <w:color w:val="000000"/>
          <w:sz w:val="0"/>
          <w:lang w:val="it-IT"/>
        </w:rPr>
      </w:pPr>
    </w:p>
    <w:p w14:paraId="6532BAD4" w14:textId="77777777" w:rsidR="00A77B3E" w:rsidRDefault="005A111E">
      <w:pPr>
        <w:pStyle w:val="Naslov4"/>
        <w:spacing w:before="100" w:after="0"/>
        <w:rPr>
          <w:b w:val="0"/>
          <w:color w:val="000000"/>
          <w:sz w:val="24"/>
        </w:rPr>
      </w:pPr>
      <w:bookmarkStart w:id="6" w:name="_Toc256000065"/>
      <w:r>
        <w:rPr>
          <w:b w:val="0"/>
          <w:color w:val="000000"/>
          <w:sz w:val="24"/>
        </w:rPr>
        <w:t>2.1.1.2.1. Ukrepi skladov</w:t>
      </w:r>
      <w:bookmarkEnd w:id="6"/>
    </w:p>
    <w:p w14:paraId="663635A6" w14:textId="77777777" w:rsidR="00A77B3E" w:rsidRDefault="00A77B3E">
      <w:pPr>
        <w:spacing w:before="100"/>
        <w:rPr>
          <w:color w:val="000000"/>
          <w:sz w:val="0"/>
        </w:rPr>
      </w:pPr>
    </w:p>
    <w:p w14:paraId="48B50AF4" w14:textId="77777777" w:rsidR="00A77B3E" w:rsidRDefault="005A111E">
      <w:pPr>
        <w:spacing w:before="100"/>
        <w:rPr>
          <w:color w:val="000000"/>
          <w:sz w:val="0"/>
        </w:rPr>
      </w:pPr>
      <w:r>
        <w:rPr>
          <w:color w:val="000000"/>
        </w:rPr>
        <w:t>Sklic: člen 22(3) uredbe o skupnih določbah, člen 20 in člen 23(1) in (2) uredbe o ESS+</w:t>
      </w:r>
    </w:p>
    <w:p w14:paraId="647210D3" w14:textId="77777777" w:rsidR="00A77B3E" w:rsidRDefault="005A111E">
      <w:pPr>
        <w:pStyle w:val="Naslov5"/>
        <w:spacing w:before="100" w:after="0"/>
        <w:rPr>
          <w:b w:val="0"/>
          <w:i w:val="0"/>
          <w:color w:val="000000"/>
          <w:sz w:val="24"/>
        </w:rPr>
      </w:pPr>
      <w:bookmarkStart w:id="7" w:name="_Toc256000066"/>
      <w:r>
        <w:rPr>
          <w:b w:val="0"/>
          <w:i w:val="0"/>
          <w:color w:val="000000"/>
          <w:sz w:val="24"/>
        </w:rPr>
        <w:t>Vrste podpore</w:t>
      </w:r>
      <w:bookmarkEnd w:id="7"/>
    </w:p>
    <w:p w14:paraId="06FC54D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DE13D3" w:rsidRPr="00DF1E49" w14:paraId="36397BC1"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1950261C" w14:textId="77777777" w:rsidR="00A77B3E" w:rsidRDefault="00A77B3E">
            <w:pPr>
              <w:spacing w:before="100"/>
              <w:rPr>
                <w:color w:val="000000"/>
                <w:sz w:val="0"/>
              </w:rPr>
            </w:pPr>
          </w:p>
          <w:p w14:paraId="32D2BDC4" w14:textId="77777777" w:rsidR="00A77B3E" w:rsidRDefault="005A111E">
            <w:pPr>
              <w:spacing w:before="100"/>
              <w:rPr>
                <w:color w:val="000000"/>
              </w:rPr>
            </w:pPr>
            <w:r>
              <w:rPr>
                <w:color w:val="000000"/>
              </w:rPr>
              <w:t>Ključni cilj Programa je osebam, ki se soočajo z najvišjo stopnjo tveganja revščine, zagotavljati kontinuirano pomoč v obliki hrane, jih dodatno informirati o pravicah iz javnih sredstev ter jih vključevati v različne spremljevalne ukrepe.</w:t>
            </w:r>
          </w:p>
          <w:p w14:paraId="59C6C784" w14:textId="77777777" w:rsidR="00A77B3E" w:rsidRDefault="00A77B3E">
            <w:pPr>
              <w:spacing w:before="100"/>
              <w:rPr>
                <w:color w:val="000000"/>
              </w:rPr>
            </w:pPr>
          </w:p>
          <w:p w14:paraId="39E0FF73" w14:textId="77777777" w:rsidR="00A77B3E" w:rsidRPr="00DF1E49" w:rsidRDefault="005A111E">
            <w:pPr>
              <w:spacing w:before="100"/>
              <w:rPr>
                <w:color w:val="000000"/>
                <w:lang w:val="it-IT"/>
              </w:rPr>
            </w:pPr>
            <w:r>
              <w:rPr>
                <w:color w:val="000000"/>
              </w:rPr>
              <w:t xml:space="preserve">Hrana bo osebam na voljo brezplačno, in sicer na razdelilnih mestih humanitarnih organizacij, v zavetiščih, materinskih domovih, varnih hišah, prehodnih domovih, kriznih centrih, dnevnih centrih, ipd., socialno najbolj izključenim pa tudi na domu ali ulici. Za razdeljevanje hrane bodo zadolžene izbrane humanitarne organizacije, za redno dobavo hrane v centralna skladišča izbranih humanitarnih organizacij pa bo zadolženo MDDSZ. </w:t>
            </w:r>
            <w:r w:rsidRPr="00DF1E49">
              <w:rPr>
                <w:color w:val="000000"/>
                <w:lang w:val="it-IT"/>
              </w:rPr>
              <w:t>O obsegu in vrsti izdelkov se bo MDDSZ predhodno posvetovalo s humanitarnimi organizacijami in prehranskimi strokovnjaki. Posebna pozornost bo namenjena zagotavljanju uravnotežene prehrane najbolj ogroženih oseb ter, v kolikor bo mogoče, naročanju lokalno pridelanih živil.</w:t>
            </w:r>
          </w:p>
          <w:p w14:paraId="07B4B938" w14:textId="77777777" w:rsidR="00A77B3E" w:rsidRPr="00DF1E49" w:rsidRDefault="00A77B3E">
            <w:pPr>
              <w:spacing w:before="100"/>
              <w:rPr>
                <w:color w:val="000000"/>
                <w:lang w:val="it-IT"/>
              </w:rPr>
            </w:pPr>
          </w:p>
          <w:p w14:paraId="3B325609" w14:textId="77777777" w:rsidR="00A77B3E" w:rsidRPr="00DF1E49" w:rsidRDefault="005A111E">
            <w:pPr>
              <w:spacing w:before="100"/>
              <w:rPr>
                <w:color w:val="000000"/>
                <w:lang w:val="it-IT"/>
              </w:rPr>
            </w:pPr>
            <w:r w:rsidRPr="00DF1E49">
              <w:rPr>
                <w:color w:val="000000"/>
                <w:lang w:val="it-IT"/>
              </w:rPr>
              <w:t>Vsem končnim prejemnikom bomo omogočili vključevanje v spremljevalne ukrepe, ki bodo namenjeni obravnavanju njihove socialne izključenosti in prispevali k izkoreninjenju revščine. Izvajale se bodo naslednje vsebine: napotitev na mehanizme socialne države in informiranje o pravicah iz javnih sredstev, informiranje in spodbujanje k vključevanju v druge programe, ki so namenjeni spodbujanju socialnega vključevanja in socialne aktivacije, organizacija socializacije prejemnikov pomoči v obliki raznih povezovalnih aktivnosti in delavnic ter psihosocialno svetovanje, povezovanje in napotitev v obravnavo pristojnih služb. MDDSZ bo pripravil enoten informativni list o postopkih uveljavljanja pravic iz javnih sredstev, ki bo obvezni sestavni del paketov s hrano.</w:t>
            </w:r>
          </w:p>
          <w:p w14:paraId="151B760F" w14:textId="77777777" w:rsidR="00A77B3E" w:rsidRPr="00DF1E49" w:rsidRDefault="00A77B3E">
            <w:pPr>
              <w:spacing w:before="100"/>
              <w:rPr>
                <w:color w:val="000000"/>
                <w:lang w:val="it-IT"/>
              </w:rPr>
            </w:pPr>
          </w:p>
          <w:p w14:paraId="598CC84F" w14:textId="77777777" w:rsidR="00A77B3E" w:rsidRPr="00DF1E49" w:rsidRDefault="005A111E">
            <w:pPr>
              <w:spacing w:before="100"/>
              <w:rPr>
                <w:color w:val="000000"/>
                <w:lang w:val="it-IT"/>
              </w:rPr>
            </w:pPr>
            <w:r w:rsidRPr="00DF1E49">
              <w:rPr>
                <w:color w:val="000000"/>
                <w:lang w:val="it-IT"/>
              </w:rPr>
              <w:t>Humanitarne organizacije, izbrane na javnem razpisu MDDSZ, bodo zadolžene za redno spremljanje končnih prejemnikov in njihovo vključevanje v spremljevalne ukrepe.</w:t>
            </w:r>
          </w:p>
          <w:p w14:paraId="08ED54A5" w14:textId="77777777" w:rsidR="00A77B3E" w:rsidRPr="00DF1E49" w:rsidRDefault="00A77B3E">
            <w:pPr>
              <w:spacing w:before="100"/>
              <w:rPr>
                <w:color w:val="000000"/>
                <w:lang w:val="it-IT"/>
              </w:rPr>
            </w:pPr>
          </w:p>
          <w:p w14:paraId="13D4FE88" w14:textId="77777777" w:rsidR="00A77B3E" w:rsidRPr="00DF1E49" w:rsidRDefault="005A111E">
            <w:pPr>
              <w:spacing w:before="100"/>
              <w:rPr>
                <w:color w:val="000000"/>
                <w:lang w:val="it-IT"/>
              </w:rPr>
            </w:pPr>
            <w:r w:rsidRPr="00DF1E49">
              <w:rPr>
                <w:color w:val="000000"/>
                <w:lang w:val="it-IT"/>
              </w:rPr>
              <w:lastRenderedPageBreak/>
              <w:t>Aktivnosti Programa so ocenjene kot skladne z načelom, da se ne škoduje bistveno, saj se ne pričakuje negativnega vpliva na okolje glede na njihovo naravo.</w:t>
            </w:r>
          </w:p>
          <w:p w14:paraId="6D3570E9" w14:textId="77777777" w:rsidR="00A77B3E" w:rsidRPr="00DF1E49" w:rsidRDefault="00A77B3E">
            <w:pPr>
              <w:spacing w:before="100"/>
              <w:rPr>
                <w:color w:val="000000"/>
                <w:lang w:val="it-IT"/>
              </w:rPr>
            </w:pPr>
          </w:p>
        </w:tc>
      </w:tr>
    </w:tbl>
    <w:p w14:paraId="564D5E2C" w14:textId="77777777" w:rsidR="00A77B3E" w:rsidRPr="00DF1E49" w:rsidRDefault="00A77B3E">
      <w:pPr>
        <w:spacing w:before="100"/>
        <w:rPr>
          <w:color w:val="000000"/>
          <w:lang w:val="it-IT"/>
        </w:rPr>
      </w:pPr>
    </w:p>
    <w:p w14:paraId="7122ADA0" w14:textId="77777777" w:rsidR="00A77B3E" w:rsidRDefault="005A111E">
      <w:pPr>
        <w:pStyle w:val="Naslov5"/>
        <w:spacing w:before="100" w:after="0"/>
        <w:rPr>
          <w:b w:val="0"/>
          <w:i w:val="0"/>
          <w:color w:val="000000"/>
          <w:sz w:val="24"/>
        </w:rPr>
      </w:pPr>
      <w:bookmarkStart w:id="8" w:name="_Toc256000067"/>
      <w:r>
        <w:rPr>
          <w:b w:val="0"/>
          <w:i w:val="0"/>
          <w:color w:val="000000"/>
          <w:sz w:val="24"/>
        </w:rPr>
        <w:t>Glavne ciljne skupine</w:t>
      </w:r>
      <w:bookmarkEnd w:id="8"/>
    </w:p>
    <w:p w14:paraId="5A6BC5B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DE13D3" w:rsidRPr="00DF1E49" w14:paraId="3FE0C9E3"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738BE6CC" w14:textId="77777777" w:rsidR="00A77B3E" w:rsidRDefault="00A77B3E">
            <w:pPr>
              <w:spacing w:before="100"/>
              <w:rPr>
                <w:color w:val="000000"/>
                <w:sz w:val="0"/>
              </w:rPr>
            </w:pPr>
          </w:p>
          <w:p w14:paraId="59221599" w14:textId="77777777" w:rsidR="00A77B3E" w:rsidRDefault="005A111E">
            <w:pPr>
              <w:spacing w:before="100"/>
              <w:rPr>
                <w:color w:val="000000"/>
              </w:rPr>
            </w:pPr>
            <w:r>
              <w:rPr>
                <w:color w:val="000000"/>
              </w:rPr>
              <w:t>Glavne ciljne skupine oziroma upravičene skupine končnih prejemnikov so skupine z najvišjo stopnjo tveganja revščine v državi.</w:t>
            </w:r>
          </w:p>
          <w:p w14:paraId="0BA3613B" w14:textId="77777777" w:rsidR="00A77B3E" w:rsidRDefault="00A77B3E">
            <w:pPr>
              <w:spacing w:before="100"/>
              <w:rPr>
                <w:color w:val="000000"/>
              </w:rPr>
            </w:pPr>
          </w:p>
          <w:p w14:paraId="15D5D553" w14:textId="77777777" w:rsidR="00A77B3E" w:rsidRDefault="005A111E">
            <w:pPr>
              <w:spacing w:before="100"/>
              <w:rPr>
                <w:color w:val="000000"/>
              </w:rPr>
            </w:pPr>
            <w:r>
              <w:rPr>
                <w:color w:val="000000"/>
              </w:rPr>
              <w:t>Glede na podatke SURS se soočajo z največjo stopnjo tveganja revščine sledeče skupine:</w:t>
            </w:r>
          </w:p>
          <w:p w14:paraId="4765902B" w14:textId="77777777" w:rsidR="00A77B3E" w:rsidRDefault="005A111E">
            <w:pPr>
              <w:numPr>
                <w:ilvl w:val="0"/>
                <w:numId w:val="2"/>
              </w:numPr>
              <w:spacing w:before="100"/>
              <w:rPr>
                <w:color w:val="000000"/>
              </w:rPr>
            </w:pPr>
            <w:r>
              <w:rPr>
                <w:color w:val="000000"/>
              </w:rPr>
              <w:t>gospodinjstva brez delovno aktivnih članov z vzdrževanimi otroki,</w:t>
            </w:r>
          </w:p>
          <w:p w14:paraId="1E58923F" w14:textId="77777777" w:rsidR="00A77B3E" w:rsidRDefault="005A111E">
            <w:pPr>
              <w:numPr>
                <w:ilvl w:val="0"/>
                <w:numId w:val="2"/>
              </w:numPr>
              <w:spacing w:before="100"/>
              <w:rPr>
                <w:color w:val="000000"/>
              </w:rPr>
            </w:pPr>
            <w:r>
              <w:rPr>
                <w:color w:val="000000"/>
              </w:rPr>
              <w:t>gospodinjstva z delno delovno aktivnimi odraslimi člani z vzdrževanimi otroki,</w:t>
            </w:r>
          </w:p>
          <w:p w14:paraId="46EF3F72" w14:textId="77777777" w:rsidR="00A77B3E" w:rsidRDefault="005A111E">
            <w:pPr>
              <w:numPr>
                <w:ilvl w:val="0"/>
                <w:numId w:val="2"/>
              </w:numPr>
              <w:spacing w:before="100"/>
              <w:rPr>
                <w:color w:val="000000"/>
              </w:rPr>
            </w:pPr>
            <w:r>
              <w:rPr>
                <w:color w:val="000000"/>
              </w:rPr>
              <w:t>delovno neintenzivna gospodinjstva brez vzdrževanih otrok,</w:t>
            </w:r>
          </w:p>
          <w:p w14:paraId="6361D9F8" w14:textId="77777777" w:rsidR="00A77B3E" w:rsidRDefault="005A111E">
            <w:pPr>
              <w:numPr>
                <w:ilvl w:val="0"/>
                <w:numId w:val="2"/>
              </w:numPr>
              <w:spacing w:before="100"/>
              <w:rPr>
                <w:color w:val="000000"/>
              </w:rPr>
            </w:pPr>
            <w:r>
              <w:rPr>
                <w:color w:val="000000"/>
              </w:rPr>
              <w:t>brezposelni,</w:t>
            </w:r>
          </w:p>
          <w:p w14:paraId="3BF3EBF7" w14:textId="77777777" w:rsidR="00A77B3E" w:rsidRDefault="005A111E">
            <w:pPr>
              <w:numPr>
                <w:ilvl w:val="0"/>
                <w:numId w:val="2"/>
              </w:numPr>
              <w:spacing w:before="100"/>
              <w:rPr>
                <w:color w:val="000000"/>
              </w:rPr>
            </w:pPr>
            <w:r>
              <w:rPr>
                <w:color w:val="000000"/>
              </w:rPr>
              <w:t>upokojene ženske (še posebej starejše od 75 let),</w:t>
            </w:r>
          </w:p>
          <w:p w14:paraId="17B039A6" w14:textId="77777777" w:rsidR="00A77B3E" w:rsidRDefault="005A111E">
            <w:pPr>
              <w:numPr>
                <w:ilvl w:val="0"/>
                <w:numId w:val="2"/>
              </w:numPr>
              <w:spacing w:before="100"/>
              <w:rPr>
                <w:color w:val="000000"/>
              </w:rPr>
            </w:pPr>
            <w:r>
              <w:rPr>
                <w:color w:val="000000"/>
              </w:rPr>
              <w:t>enočlanska gospodinjstva (še posebej enočlanska gospodinjstva starih 65 let in več).</w:t>
            </w:r>
          </w:p>
          <w:p w14:paraId="5EA063C1" w14:textId="77777777" w:rsidR="00A77B3E" w:rsidRDefault="00A77B3E">
            <w:pPr>
              <w:spacing w:before="100"/>
              <w:rPr>
                <w:color w:val="000000"/>
              </w:rPr>
            </w:pPr>
          </w:p>
          <w:p w14:paraId="4A1FC3C5" w14:textId="77777777" w:rsidR="00A77B3E" w:rsidRDefault="005A111E">
            <w:pPr>
              <w:spacing w:before="100"/>
              <w:rPr>
                <w:color w:val="000000"/>
              </w:rPr>
            </w:pPr>
            <w:r>
              <w:rPr>
                <w:color w:val="000000"/>
              </w:rPr>
              <w:t>Pomoč lahko prejmejo tudi osebe, ki ne sodijo v navedene skupine, v kolikor bodo pristojne organizacije (npr. CSD, šola, patronažna služba, humanitarne organizacije, izbrane na javnem razpisu MDDSZ za razdeljevanje hrane, ipd.) presodile, da potrebujejo pomoč.</w:t>
            </w:r>
          </w:p>
          <w:p w14:paraId="3FA6428B" w14:textId="77777777" w:rsidR="00A77B3E" w:rsidRDefault="00A77B3E">
            <w:pPr>
              <w:spacing w:before="100"/>
              <w:rPr>
                <w:color w:val="000000"/>
              </w:rPr>
            </w:pPr>
          </w:p>
          <w:p w14:paraId="6853B080" w14:textId="77777777" w:rsidR="00A77B3E" w:rsidRPr="00DF1E49" w:rsidRDefault="005A111E">
            <w:pPr>
              <w:spacing w:before="100"/>
              <w:rPr>
                <w:color w:val="000000"/>
                <w:lang w:val="it-IT"/>
              </w:rPr>
            </w:pPr>
            <w:r w:rsidRPr="00DF1E49">
              <w:rPr>
                <w:color w:val="000000"/>
                <w:lang w:val="it-IT"/>
              </w:rPr>
              <w:t>Kriteriji upravičenosti oseb do pomoči bodo objektivni in enotni. MDDSZ jih bo uskladilo s ključnimi deležniki ter določilo z aktom MDDSZ. Preverjanje upravičenosti oseb do pomoči na podlagi dokazil, določenih z aktom MDDSZ, bo v pristojnosti upravičencev, izbranih za razdeljevanje pomoči in izvajanje spremljevalnih ukrepov. Kriteriji upravičenosti oseb do pomoči bodo določeni dovolj široko, da bodo pomoč lahko prejeli zares vsi, ki jo potrebujejo.</w:t>
            </w:r>
          </w:p>
          <w:p w14:paraId="6DA70ED1" w14:textId="77777777" w:rsidR="00A77B3E" w:rsidRPr="00DF1E49" w:rsidRDefault="00A77B3E">
            <w:pPr>
              <w:spacing w:before="100"/>
              <w:rPr>
                <w:color w:val="000000"/>
                <w:lang w:val="it-IT"/>
              </w:rPr>
            </w:pPr>
          </w:p>
          <w:p w14:paraId="3CF04C7B" w14:textId="77777777" w:rsidR="00A77B3E" w:rsidRPr="00DF1E49" w:rsidRDefault="005A111E">
            <w:pPr>
              <w:spacing w:before="100"/>
              <w:rPr>
                <w:color w:val="000000"/>
                <w:lang w:val="it-IT"/>
              </w:rPr>
            </w:pPr>
            <w:r w:rsidRPr="00DF1E49">
              <w:rPr>
                <w:color w:val="000000"/>
                <w:lang w:val="it-IT"/>
              </w:rPr>
              <w:t>Pomoč bo končnim prejemnikom zagotovljena neposredno, kot dodatna pomoč drugim oblikam pomoči, do katerih so upravičeni v skladu z nacionalno zakonodajo.</w:t>
            </w:r>
          </w:p>
          <w:p w14:paraId="69B2DB87" w14:textId="77777777" w:rsidR="00A77B3E" w:rsidRPr="00DF1E49" w:rsidRDefault="00A77B3E">
            <w:pPr>
              <w:spacing w:before="100"/>
              <w:rPr>
                <w:color w:val="000000"/>
                <w:lang w:val="it-IT"/>
              </w:rPr>
            </w:pPr>
          </w:p>
          <w:p w14:paraId="0D9CC9E0" w14:textId="77777777" w:rsidR="00A77B3E" w:rsidRPr="00DF1E49" w:rsidRDefault="005A111E">
            <w:pPr>
              <w:spacing w:before="100"/>
              <w:rPr>
                <w:color w:val="000000"/>
                <w:lang w:val="it-IT"/>
              </w:rPr>
            </w:pPr>
            <w:r w:rsidRPr="00DF1E49">
              <w:rPr>
                <w:color w:val="000000"/>
                <w:lang w:val="it-IT"/>
              </w:rPr>
              <w:lastRenderedPageBreak/>
              <w:t>Pri dodeljevanju pomoči se bodo upoštevala načela, ki so določena v 19. členu Uredbe (EU) 2021/1057 kot tudi horizontalna načela, določena v 9. členu Uredbe (EU) 2021/1060.</w:t>
            </w:r>
          </w:p>
          <w:p w14:paraId="52F94534" w14:textId="77777777" w:rsidR="00A77B3E" w:rsidRPr="00DF1E49" w:rsidRDefault="00A77B3E">
            <w:pPr>
              <w:spacing w:before="100"/>
              <w:rPr>
                <w:color w:val="000000"/>
                <w:lang w:val="it-IT"/>
              </w:rPr>
            </w:pPr>
          </w:p>
        </w:tc>
      </w:tr>
    </w:tbl>
    <w:p w14:paraId="2DADD5D1" w14:textId="77777777" w:rsidR="00A77B3E" w:rsidRPr="00DF1E49" w:rsidRDefault="00A77B3E">
      <w:pPr>
        <w:spacing w:before="100"/>
        <w:rPr>
          <w:color w:val="000000"/>
          <w:lang w:val="it-IT"/>
        </w:rPr>
      </w:pPr>
    </w:p>
    <w:p w14:paraId="00F0904A" w14:textId="77777777" w:rsidR="00A77B3E" w:rsidRDefault="005A111E">
      <w:pPr>
        <w:pStyle w:val="Naslov5"/>
        <w:spacing w:before="100" w:after="0"/>
        <w:rPr>
          <w:b w:val="0"/>
          <w:i w:val="0"/>
          <w:color w:val="000000"/>
          <w:sz w:val="24"/>
        </w:rPr>
      </w:pPr>
      <w:bookmarkStart w:id="9" w:name="_Toc256000068"/>
      <w:r>
        <w:rPr>
          <w:b w:val="0"/>
          <w:i w:val="0"/>
          <w:color w:val="000000"/>
          <w:sz w:val="24"/>
        </w:rPr>
        <w:t>Opis nacionalnih ali regionalnih podpornih shem</w:t>
      </w:r>
      <w:bookmarkEnd w:id="9"/>
    </w:p>
    <w:p w14:paraId="27DC26C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DE13D3" w:rsidRPr="00DF1E49" w14:paraId="65DBC6EC"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43C937A0" w14:textId="77777777" w:rsidR="00A77B3E" w:rsidRDefault="00A77B3E">
            <w:pPr>
              <w:spacing w:before="100"/>
              <w:rPr>
                <w:color w:val="000000"/>
                <w:sz w:val="0"/>
              </w:rPr>
            </w:pPr>
          </w:p>
          <w:p w14:paraId="1967E076" w14:textId="77777777" w:rsidR="00A77B3E" w:rsidRDefault="005A111E">
            <w:pPr>
              <w:spacing w:before="100"/>
              <w:rPr>
                <w:color w:val="000000"/>
              </w:rPr>
            </w:pPr>
            <w:r>
              <w:rPr>
                <w:color w:val="000000"/>
              </w:rPr>
              <w:t>Posameznik lahko na podlagi Zakona o uveljavljanju pravic iz javnih sredstev in Zakona o socialnovarstvenih prejemkih prejme DSP, izredno DSP, varstveni dodatek, otroški dodatek ter državno štipendijo in različne subvencije in plačila: znižano plačilo vrtca, subvencijo malice in kosila, subvencijo najemnine, plačilo prispevka za obvezno zdravstveno zavarovanje, kritje razlike do polne vrednosti zdravstvenih storitev in prispevek k plačilu družinskega pomočnika. Na podlagi Zakona o starševskem varstvu in družinskih prejemkih lahko posameznik prejme porodniško nadomestilo, posvojiteljsko nadomestilo, dodatek za nego in varstvo otroka, pomoč ob rojstvu otroka, dodatek za veliko družino, nadomestilo za očetovski dopust in starševski dodatek. Na podlagi Zakona o socialnem vključevanju invalidov lahko oseba pridobi pravico do nadomestila za invalidnost in dodatek za pomoč in postrežbo.</w:t>
            </w:r>
          </w:p>
          <w:p w14:paraId="411ADD3E" w14:textId="77777777" w:rsidR="00A77B3E" w:rsidRDefault="00A77B3E">
            <w:pPr>
              <w:spacing w:before="100"/>
              <w:rPr>
                <w:color w:val="000000"/>
              </w:rPr>
            </w:pPr>
          </w:p>
          <w:p w14:paraId="3EA66D37" w14:textId="77777777" w:rsidR="00A77B3E" w:rsidRPr="00DF1E49" w:rsidRDefault="005A111E">
            <w:pPr>
              <w:spacing w:before="100"/>
              <w:rPr>
                <w:color w:val="000000"/>
                <w:lang w:val="it-IT"/>
              </w:rPr>
            </w:pPr>
            <w:r>
              <w:rPr>
                <w:color w:val="000000"/>
              </w:rPr>
              <w:t xml:space="preserve">Na podlagi Zakona o pokojninskem in invalidskem zavarovanju lahko posameznik prejme invalidnino, dodatek za pomoč in postrežbo, invalidsko pokojnino, nadomestilo za invalidnost, starostno pokojnino ter družinsko in vdovsko pokojnino. </w:t>
            </w:r>
            <w:r w:rsidRPr="00DF1E49">
              <w:rPr>
                <w:color w:val="000000"/>
                <w:lang w:val="it-IT"/>
              </w:rPr>
              <w:t xml:space="preserve">Odločbo o dodelitvi izda Zavod za pokojninsko in invalidsko zavarovanje. </w:t>
            </w:r>
          </w:p>
          <w:p w14:paraId="11B89AB8" w14:textId="77777777" w:rsidR="00A77B3E" w:rsidRPr="00DF1E49" w:rsidRDefault="00A77B3E">
            <w:pPr>
              <w:spacing w:before="100"/>
              <w:rPr>
                <w:color w:val="000000"/>
                <w:lang w:val="it-IT"/>
              </w:rPr>
            </w:pPr>
          </w:p>
          <w:p w14:paraId="7214401C" w14:textId="77777777" w:rsidR="00A77B3E" w:rsidRPr="00DF1E49" w:rsidRDefault="005A111E">
            <w:pPr>
              <w:spacing w:before="100"/>
              <w:rPr>
                <w:color w:val="000000"/>
                <w:lang w:val="it-IT"/>
              </w:rPr>
            </w:pPr>
            <w:r w:rsidRPr="00DF1E49">
              <w:rPr>
                <w:color w:val="000000"/>
                <w:lang w:val="it-IT"/>
              </w:rPr>
              <w:t>Na podlagi Zakona o zaposlovanju in zavarovanju za primer brezposelnosti lahko posameznik prejme denarno nadomestilo za primer brezposelnosti. Odločbo o dodelitvi izda Zavod Republike Slovenije za zaposlovanje. Na voljo pa so tudi sredstva iz naslova aktivne politike zaposlovanja in socialne aktivacije.</w:t>
            </w:r>
          </w:p>
          <w:p w14:paraId="0DEC6604" w14:textId="77777777" w:rsidR="00A77B3E" w:rsidRPr="00DF1E49" w:rsidRDefault="00A77B3E">
            <w:pPr>
              <w:spacing w:before="100"/>
              <w:rPr>
                <w:color w:val="000000"/>
                <w:lang w:val="it-IT"/>
              </w:rPr>
            </w:pPr>
          </w:p>
          <w:p w14:paraId="41125409" w14:textId="77777777" w:rsidR="00A77B3E" w:rsidRPr="00DF1E49" w:rsidRDefault="005A111E">
            <w:pPr>
              <w:spacing w:before="100"/>
              <w:rPr>
                <w:color w:val="000000"/>
                <w:lang w:val="it-IT"/>
              </w:rPr>
            </w:pPr>
            <w:r w:rsidRPr="00DF1E49">
              <w:rPr>
                <w:color w:val="000000"/>
                <w:lang w:val="it-IT"/>
              </w:rPr>
              <w:t>Navedeni socialni transferji pomembno blažijo revščino in socialno izključenost, zato bo eden izmed ključnih spremljevalnih ukrepov Programa namenjen povezovanju upravičencev s pristojnimi službami za izdajo odločb o dodelitvi in napotitev končnih prejemnikov v obravnavo pristojnih služb ter informiranje o pravicah iz javnih sredstev.</w:t>
            </w:r>
          </w:p>
          <w:p w14:paraId="772EBA07" w14:textId="77777777" w:rsidR="00A77B3E" w:rsidRPr="00DF1E49" w:rsidRDefault="00A77B3E">
            <w:pPr>
              <w:spacing w:before="100"/>
              <w:rPr>
                <w:color w:val="000000"/>
                <w:lang w:val="it-IT"/>
              </w:rPr>
            </w:pPr>
          </w:p>
          <w:p w14:paraId="56A399CD" w14:textId="77777777" w:rsidR="00A77B3E" w:rsidRPr="00DF1E49" w:rsidRDefault="005A111E">
            <w:pPr>
              <w:spacing w:before="100"/>
              <w:rPr>
                <w:color w:val="000000"/>
                <w:lang w:val="it-IT"/>
              </w:rPr>
            </w:pPr>
            <w:r w:rsidRPr="00DF1E49">
              <w:rPr>
                <w:color w:val="000000"/>
                <w:lang w:val="it-IT"/>
              </w:rPr>
              <w:t>Med komplementarne programe, ki naslavljajo odpravljanje materialne prikrajšanosti sodijo tudi ukrepi, ki jih podpira Ministrstvo za kmetijstvo gozdarstvo in prehrano. Skladno z Zakonom o kmetijstvu so sofinancirani posredniki pri razdeljevanju donirane hrane, v okviru Strategije za manj izgub hrane in odpadne hrane v verigi preskrbe s hrano je predvideno tudi izboljšanje sistema prerazporejanja presežkov donirane hrane.</w:t>
            </w:r>
          </w:p>
          <w:p w14:paraId="5D501FAB" w14:textId="77777777" w:rsidR="00A77B3E" w:rsidRPr="00DF1E49" w:rsidRDefault="00A77B3E">
            <w:pPr>
              <w:spacing w:before="100"/>
              <w:rPr>
                <w:color w:val="000000"/>
                <w:lang w:val="it-IT"/>
              </w:rPr>
            </w:pPr>
          </w:p>
        </w:tc>
      </w:tr>
    </w:tbl>
    <w:p w14:paraId="3B6B49D7" w14:textId="77777777" w:rsidR="00A77B3E" w:rsidRPr="00DF1E49" w:rsidRDefault="00A77B3E">
      <w:pPr>
        <w:spacing w:before="100"/>
        <w:rPr>
          <w:color w:val="000000"/>
          <w:lang w:val="it-IT"/>
        </w:rPr>
      </w:pPr>
    </w:p>
    <w:p w14:paraId="1DFC8B7C" w14:textId="77777777" w:rsidR="00A77B3E" w:rsidRDefault="005A111E">
      <w:pPr>
        <w:pStyle w:val="Naslov5"/>
        <w:spacing w:before="100" w:after="0"/>
        <w:rPr>
          <w:b w:val="0"/>
          <w:i w:val="0"/>
          <w:color w:val="000000"/>
          <w:sz w:val="24"/>
        </w:rPr>
      </w:pPr>
      <w:bookmarkStart w:id="10" w:name="_Toc256000069"/>
      <w:r>
        <w:rPr>
          <w:b w:val="0"/>
          <w:i w:val="0"/>
          <w:color w:val="000000"/>
          <w:sz w:val="24"/>
        </w:rPr>
        <w:lastRenderedPageBreak/>
        <w:t>Merila za izbor operacij</w:t>
      </w:r>
      <w:bookmarkEnd w:id="10"/>
    </w:p>
    <w:p w14:paraId="7C7FC75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DE13D3" w:rsidRPr="00DF1E49" w14:paraId="22395896"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4D10719C" w14:textId="77777777" w:rsidR="00A77B3E" w:rsidRPr="00DF1E49" w:rsidRDefault="00A77B3E">
            <w:pPr>
              <w:spacing w:before="100"/>
              <w:rPr>
                <w:color w:val="000000"/>
                <w:sz w:val="0"/>
                <w:lang w:val="it-IT"/>
              </w:rPr>
            </w:pPr>
          </w:p>
          <w:p w14:paraId="0AE34F4F" w14:textId="77777777" w:rsidR="00A77B3E" w:rsidRPr="00DF1E49" w:rsidRDefault="005A111E">
            <w:pPr>
              <w:spacing w:before="100"/>
              <w:rPr>
                <w:color w:val="000000"/>
                <w:lang w:val="it-IT"/>
              </w:rPr>
            </w:pPr>
            <w:r w:rsidRPr="00DF1E49">
              <w:rPr>
                <w:color w:val="000000"/>
                <w:lang w:val="it-IT"/>
              </w:rPr>
              <w:t>V okviru Programa se bodo izvajale naslednje operacije:</w:t>
            </w:r>
          </w:p>
          <w:p w14:paraId="4D6630D0" w14:textId="77777777" w:rsidR="00A77B3E" w:rsidRPr="00DF1E49" w:rsidRDefault="00A77B3E">
            <w:pPr>
              <w:spacing w:before="100"/>
              <w:rPr>
                <w:color w:val="000000"/>
                <w:lang w:val="it-IT"/>
              </w:rPr>
            </w:pPr>
          </w:p>
          <w:p w14:paraId="646B6E5B" w14:textId="77777777" w:rsidR="00A77B3E" w:rsidRPr="00DF1E49" w:rsidRDefault="005A111E">
            <w:pPr>
              <w:spacing w:before="100"/>
              <w:rPr>
                <w:color w:val="000000"/>
                <w:lang w:val="it-IT"/>
              </w:rPr>
            </w:pPr>
            <w:r w:rsidRPr="00DF1E49">
              <w:rPr>
                <w:b/>
                <w:bCs/>
                <w:color w:val="000000"/>
                <w:lang w:val="it-IT"/>
              </w:rPr>
              <w:t xml:space="preserve">1) Nakup hrane </w:t>
            </w:r>
          </w:p>
          <w:p w14:paraId="08758E40" w14:textId="77777777" w:rsidR="00A77B3E" w:rsidRPr="00DF1E49" w:rsidRDefault="00A77B3E">
            <w:pPr>
              <w:spacing w:before="100"/>
              <w:rPr>
                <w:color w:val="000000"/>
                <w:lang w:val="it-IT"/>
              </w:rPr>
            </w:pPr>
          </w:p>
          <w:p w14:paraId="20DEE406" w14:textId="77777777" w:rsidR="00A77B3E" w:rsidRPr="00DF1E49" w:rsidRDefault="005A111E">
            <w:pPr>
              <w:spacing w:before="100"/>
              <w:rPr>
                <w:color w:val="000000"/>
                <w:lang w:val="it-IT"/>
              </w:rPr>
            </w:pPr>
            <w:r w:rsidRPr="00DF1E49">
              <w:rPr>
                <w:color w:val="000000"/>
                <w:lang w:val="it-IT"/>
              </w:rPr>
              <w:t>Ključni namen operacije je zagotoviti redno nabavo in dobavo hrane v skladišča upravičencev, ki bodo v postopku javnega razpisa izbrani za razdeljevanje pomoči in izvajanje spremljevalnih ukrepov. Za izvajanje operacije bo odgovorno MDDSZ, ki bo pripravilo in izvedlo javno naročilo za sukcesivno dobavo blaga. Javno naročilo bo izvedeno predvidoma za obdobje treh let. S ponudniki, ki bodo zagotovili dobavo kakovostnega in zdravstveno ustreznega blaga ter ponudili ekonomsko najugodnješo ceno za izdelek, bo MDDSZ sklenilo pogodbo za dobavo blaga. MDDSZ bo hrano dobavljalo predvidoma trikrat letno. Postopek javnega naročanja blaga bo potekal v skladu z Zakonom o javnem naročanju (ZJN-3). Upoštevano bo pravo Unije o varnosti potrošniških izdelkov, upoštevali se bodo podnebni in okoljski vidiki, zlasti za zmanjšanje količine živilskih odpadkov, pri čemer bo skladno z 19. členom Uredbe (EU) 2021/1057, ki določa, da je pri naročanju živil potrebno upoštevati podnebni in okoljski vidik ter naročati živila, ki niso v embalaži za enkratno uporabo. Pri naročanju živil se bo sledilo cilju EU Strategije od vil do vilic in SDG 12.3 kot tudi ciljem Resolucije »Naša hrana, podeželje in naravni viri od leta 2021«. Pri izvedbi postopkov javnega naročanja blaga pa bomo v okviru meril za izbor ponudb poskušali dati prednost lokalnim živilom, tj. živilom, ki so transportirana na krajše razdalje.</w:t>
            </w:r>
          </w:p>
          <w:p w14:paraId="21DE8B8E" w14:textId="77777777" w:rsidR="00A77B3E" w:rsidRPr="00DF1E49" w:rsidRDefault="00A77B3E">
            <w:pPr>
              <w:spacing w:before="100"/>
              <w:rPr>
                <w:color w:val="000000"/>
                <w:lang w:val="it-IT"/>
              </w:rPr>
            </w:pPr>
          </w:p>
          <w:p w14:paraId="719C8419" w14:textId="77777777" w:rsidR="00A77B3E" w:rsidRPr="00DF1E49" w:rsidRDefault="005A111E">
            <w:pPr>
              <w:spacing w:before="100"/>
              <w:rPr>
                <w:color w:val="000000"/>
                <w:lang w:val="it-IT"/>
              </w:rPr>
            </w:pPr>
            <w:r w:rsidRPr="00DF1E49">
              <w:rPr>
                <w:b/>
                <w:bCs/>
                <w:color w:val="000000"/>
                <w:lang w:val="it-IT"/>
              </w:rPr>
              <w:t>2) Razdeljevanje pomoči v hrani najbolj ogroženim in izvajanje spremljevalnih ukrepov</w:t>
            </w:r>
          </w:p>
          <w:p w14:paraId="1C84B828" w14:textId="7863CC04" w:rsidR="00A77B3E" w:rsidRPr="00DF1E49" w:rsidRDefault="005A111E">
            <w:pPr>
              <w:spacing w:before="100"/>
              <w:rPr>
                <w:color w:val="000000"/>
                <w:lang w:val="it-IT"/>
              </w:rPr>
            </w:pPr>
            <w:r w:rsidRPr="00DF1E49">
              <w:rPr>
                <w:color w:val="000000"/>
                <w:lang w:val="it-IT"/>
              </w:rPr>
              <w:t xml:space="preserve">MDDSZ bo v postopku javnega razpisa izbralo operacije, katerih namen je razdeljevanje pomoči v obliki hrane najbolj ogroženim in izvajanje spremljevalnih ukrepov za izboljšanje socialne vključenosti končnih prejemnikov. Postopek javnega razpisa za izbor operacij bo potekal v skladu z 106. členom Zakona o javnih financah. Na javni razpis bodo lahko kandidirale humanitarne organizacije, vpisane v razvid humanitarnih organizacij pri pristojnem ministrstvu, ki opravljajo dejavnost na področju socialnega varstva, </w:t>
            </w:r>
            <w:r w:rsidR="00DF1E49">
              <w:rPr>
                <w:color w:val="000000"/>
                <w:lang w:val="it-IT"/>
              </w:rPr>
              <w:t xml:space="preserve">ali </w:t>
            </w:r>
            <w:r w:rsidR="00DF1E49" w:rsidRPr="00DF1E49">
              <w:rPr>
                <w:color w:val="000000"/>
                <w:lang w:val="it-IT"/>
              </w:rPr>
              <w:t>organizacija s statusom nevladne organizacije v javnem interesu na področju opravlja</w:t>
            </w:r>
            <w:r w:rsidR="00DF1E49" w:rsidRPr="00DF1E49">
              <w:rPr>
                <w:color w:val="000000"/>
                <w:lang w:val="it-IT"/>
              </w:rPr>
              <w:softHyphen/>
              <w:t>nja humanitarne dejavnosti in je vpisana v evidenco nevladnih organizacij</w:t>
            </w:r>
            <w:r w:rsidR="00DF1E49">
              <w:rPr>
                <w:color w:val="000000"/>
                <w:lang w:val="it-IT"/>
              </w:rPr>
              <w:t xml:space="preserve">, </w:t>
            </w:r>
            <w:r w:rsidRPr="00DF1E49">
              <w:rPr>
                <w:color w:val="000000"/>
                <w:lang w:val="it-IT"/>
              </w:rPr>
              <w:t>imajo upravne, finančne in operativne zmogljivosti za izvajanje operacije, izpolnjujejo higienske in tehnične pogoje skladiščenja ter imajo vzpostavljeno lokalno mrežo za razdeljevanje pomoči</w:t>
            </w:r>
            <w:r w:rsidR="00DF1E49">
              <w:rPr>
                <w:color w:val="000000"/>
                <w:lang w:val="it-IT"/>
              </w:rPr>
              <w:t xml:space="preserve">. </w:t>
            </w:r>
          </w:p>
          <w:p w14:paraId="2A99A0C9" w14:textId="77777777" w:rsidR="00A77B3E" w:rsidRPr="00DF1E49" w:rsidRDefault="00A77B3E">
            <w:pPr>
              <w:spacing w:before="100"/>
              <w:rPr>
                <w:color w:val="000000"/>
                <w:lang w:val="it-IT"/>
              </w:rPr>
            </w:pPr>
          </w:p>
          <w:p w14:paraId="62BA1915" w14:textId="77777777" w:rsidR="00A77B3E" w:rsidRPr="00DF1E49" w:rsidRDefault="005A111E">
            <w:pPr>
              <w:spacing w:before="100"/>
              <w:rPr>
                <w:color w:val="000000"/>
                <w:lang w:val="it-IT"/>
              </w:rPr>
            </w:pPr>
            <w:r w:rsidRPr="00DF1E49">
              <w:rPr>
                <w:color w:val="000000"/>
                <w:lang w:val="it-IT"/>
              </w:rPr>
              <w:t>Razpisna dokumentacija bo vsebovala osnovne podatke o predmetu javnega razpisa, navodila za pripravo vloge, določilo o največjem možnem deležu dodeljenih sredstev, vzorec pogodbe o sofinanciranju operacije, seznam dokumentov, ki jih mora prijavitelj predložiti vlogi, navedbo vseh meril, na podlagi katerih se bo vloga prijavitelja ocenjevala, ter navedbo o tem, kdo s sklepom odloči o dodelitvi sredstev. Merila bodo sledeča: organizacija transporta, skladiščenja in razdeljevanja hrane, postopek preverjanja upravičenosti oseb do pomoči, na podlagi kriterijev, določenih z aktom MDDSZ, program spremljevalnih ukrepov ter strokovna usposobljenost za izvajanje, sistem spremljanja izvajanja pomoči in izkušnje z izvajanjem primerljivih dejavnosti.</w:t>
            </w:r>
          </w:p>
          <w:p w14:paraId="18612135" w14:textId="77777777" w:rsidR="00A77B3E" w:rsidRPr="00DF1E49" w:rsidRDefault="00A77B3E">
            <w:pPr>
              <w:spacing w:before="100"/>
              <w:rPr>
                <w:color w:val="000000"/>
                <w:lang w:val="it-IT"/>
              </w:rPr>
            </w:pPr>
          </w:p>
          <w:p w14:paraId="6143BB47" w14:textId="77777777" w:rsidR="00A77B3E" w:rsidRPr="00DF1E49" w:rsidRDefault="005A111E">
            <w:pPr>
              <w:spacing w:before="100"/>
              <w:rPr>
                <w:color w:val="000000"/>
                <w:lang w:val="it-IT"/>
              </w:rPr>
            </w:pPr>
            <w:r w:rsidRPr="00DF1E49">
              <w:rPr>
                <w:color w:val="000000"/>
                <w:lang w:val="it-IT"/>
              </w:rPr>
              <w:lastRenderedPageBreak/>
              <w:t>V predlog za sofinanciranje se bodo lahko uvrstile operacije, ki bodo dosegle vnaprej določen minimum dodeljenih točk. Za izvedbo postopka javnega razpisa bo zadolžena strokovna komisija, imenovana s strani predstojnika MDDSZ. Člani strokovne komisije bodo morali imeti ustrezno strokovno izobrazbo in najmanj pet let delovnih izkušenj s področja javnega razpisa. Strokovna komisija bo na podlagi ocen pripravila predlog za izbor operacij, o katerem bo dokončno odločil predstojnik MDDSZ. Izbranim prijaviteljem bo predstojnik MDDSZ izdal sklep o izboru, na podlagi katerega bo MDDSZ z njimi sklenilo pogodbo o sofinanciranju operacije. Pri izračunu količine blaga, ki jo bo MDDSZ dodelilo posameznemu upravičencu, bodo upoštevani podatki o številu končnih prejemnikov pri upravičencu. Pri izboru in izvajanju operacij bodo dosledno upoštevana določila 73. člena Uredbe (EU) 2021/1060 in nacionalne zakonodaje.</w:t>
            </w:r>
          </w:p>
          <w:p w14:paraId="7E748880" w14:textId="77777777" w:rsidR="00A77B3E" w:rsidRPr="00DF1E49" w:rsidRDefault="00A77B3E">
            <w:pPr>
              <w:spacing w:before="100"/>
              <w:rPr>
                <w:color w:val="000000"/>
                <w:lang w:val="it-IT"/>
              </w:rPr>
            </w:pPr>
          </w:p>
          <w:p w14:paraId="57A5A46A" w14:textId="77777777" w:rsidR="00A77B3E" w:rsidRPr="00DF1E49" w:rsidRDefault="005A111E">
            <w:pPr>
              <w:spacing w:before="100"/>
              <w:rPr>
                <w:color w:val="000000"/>
                <w:lang w:val="it-IT"/>
              </w:rPr>
            </w:pPr>
            <w:r w:rsidRPr="00DF1E49">
              <w:rPr>
                <w:color w:val="000000"/>
                <w:lang w:val="it-IT"/>
              </w:rPr>
              <w:t>Za financiranje stroškov, povezanih z razdeljevanjem pomoči in z izvajanjem spremljevalnih ukrepov, bodo uporabljene poenostavljene oblike stroškov, in sicer bo uporabljena pavšalna stopnja 7 % od stroška nakupa hrane za obe vrsti stroškov.</w:t>
            </w:r>
          </w:p>
          <w:p w14:paraId="08A1518D" w14:textId="77777777" w:rsidR="00A77B3E" w:rsidRPr="00DF1E49" w:rsidRDefault="00A77B3E">
            <w:pPr>
              <w:spacing w:before="100"/>
              <w:rPr>
                <w:color w:val="000000"/>
                <w:lang w:val="it-IT"/>
              </w:rPr>
            </w:pPr>
          </w:p>
          <w:p w14:paraId="2FC235F0" w14:textId="77777777" w:rsidR="00A77B3E" w:rsidRPr="00DF1E49" w:rsidRDefault="005A111E">
            <w:pPr>
              <w:spacing w:before="100"/>
              <w:rPr>
                <w:color w:val="000000"/>
                <w:lang w:val="it-IT"/>
              </w:rPr>
            </w:pPr>
            <w:r w:rsidRPr="00DF1E49">
              <w:rPr>
                <w:color w:val="000000"/>
                <w:lang w:val="it-IT"/>
              </w:rPr>
              <w:t>Med pripravo, izvajanjem, spremljanjem, poročanjem in vrednotenjem operacij bodo v skladu z 9. členom Uredbe (EU) 2021/1060 dosledno upoštevana horizontalna načela, še zlasti načela, ki jih določata člen 9(2) in 9(3) navedene Uredbe, ter določila 19., 21. in 22. člena Uredbe (EU) 2021/1057.</w:t>
            </w:r>
          </w:p>
          <w:p w14:paraId="489BF601" w14:textId="77777777" w:rsidR="00A77B3E" w:rsidRPr="00DF1E49" w:rsidRDefault="00A77B3E">
            <w:pPr>
              <w:spacing w:before="100"/>
              <w:rPr>
                <w:color w:val="000000"/>
                <w:lang w:val="it-IT"/>
              </w:rPr>
            </w:pPr>
          </w:p>
        </w:tc>
      </w:tr>
    </w:tbl>
    <w:p w14:paraId="0D082C44" w14:textId="77777777" w:rsidR="00A77B3E" w:rsidRPr="00DF1E49" w:rsidRDefault="00A77B3E">
      <w:pPr>
        <w:spacing w:before="100"/>
        <w:rPr>
          <w:color w:val="000000"/>
          <w:lang w:val="it-IT"/>
        </w:rPr>
      </w:pPr>
    </w:p>
    <w:p w14:paraId="0D96E1E8" w14:textId="77777777" w:rsidR="00A77B3E" w:rsidRDefault="005A111E">
      <w:pPr>
        <w:pStyle w:val="Naslov4"/>
        <w:spacing w:before="100" w:after="0"/>
        <w:rPr>
          <w:b w:val="0"/>
          <w:color w:val="000000"/>
          <w:sz w:val="24"/>
        </w:rPr>
      </w:pPr>
      <w:bookmarkStart w:id="11" w:name="_Toc256000070"/>
      <w:r>
        <w:rPr>
          <w:b w:val="0"/>
          <w:color w:val="000000"/>
          <w:sz w:val="24"/>
        </w:rPr>
        <w:t>2.1.1.2.2. Kazalniki</w:t>
      </w:r>
      <w:bookmarkEnd w:id="11"/>
    </w:p>
    <w:p w14:paraId="70653368" w14:textId="77777777" w:rsidR="00A77B3E" w:rsidRDefault="00A77B3E">
      <w:pPr>
        <w:spacing w:before="100"/>
        <w:rPr>
          <w:color w:val="000000"/>
          <w:sz w:val="0"/>
        </w:rPr>
      </w:pPr>
    </w:p>
    <w:p w14:paraId="75720A79" w14:textId="77777777" w:rsidR="00A77B3E" w:rsidRDefault="005A111E">
      <w:pPr>
        <w:pStyle w:val="Naslov5"/>
        <w:spacing w:before="100" w:after="0"/>
        <w:rPr>
          <w:b w:val="0"/>
          <w:i w:val="0"/>
          <w:color w:val="000000"/>
          <w:sz w:val="24"/>
        </w:rPr>
      </w:pPr>
      <w:bookmarkStart w:id="12" w:name="_Toc256000071"/>
      <w:r>
        <w:rPr>
          <w:b w:val="0"/>
          <w:i w:val="0"/>
          <w:color w:val="000000"/>
          <w:sz w:val="24"/>
        </w:rPr>
        <w:t>Tabela 2: Kazalniki učinka</w:t>
      </w:r>
      <w:bookmarkEnd w:id="12"/>
    </w:p>
    <w:p w14:paraId="3308C12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576"/>
        <w:gridCol w:w="736"/>
        <w:gridCol w:w="2092"/>
        <w:gridCol w:w="1427"/>
        <w:gridCol w:w="5779"/>
        <w:gridCol w:w="1533"/>
      </w:tblGrid>
      <w:tr w:rsidR="00DE13D3" w14:paraId="22AA05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E72FD0" w14:textId="77777777" w:rsidR="00A77B3E" w:rsidRDefault="005A111E">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222A4F" w14:textId="77777777" w:rsidR="00A77B3E" w:rsidRDefault="005A111E">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BDFA55" w14:textId="77777777" w:rsidR="00A77B3E" w:rsidRDefault="005A111E">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395C5B" w14:textId="77777777" w:rsidR="00A77B3E" w:rsidRDefault="005A111E">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98E1DA" w14:textId="77777777" w:rsidR="00A77B3E" w:rsidRDefault="005A111E">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1D5D61" w14:textId="77777777" w:rsidR="00A77B3E" w:rsidRDefault="005A111E">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9455BD" w14:textId="77777777" w:rsidR="00A77B3E" w:rsidRDefault="005A111E">
            <w:pPr>
              <w:spacing w:before="100"/>
              <w:jc w:val="center"/>
              <w:rPr>
                <w:color w:val="000000"/>
                <w:sz w:val="20"/>
              </w:rPr>
            </w:pPr>
            <w:r>
              <w:rPr>
                <w:color w:val="000000"/>
                <w:sz w:val="20"/>
              </w:rPr>
              <w:t>Merska enota</w:t>
            </w:r>
          </w:p>
        </w:tc>
      </w:tr>
      <w:tr w:rsidR="00DE13D3" w14:paraId="0E43D2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2C7A7"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2529E"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86878"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C7AD0" w14:textId="77777777" w:rsidR="00A77B3E" w:rsidRDefault="005A111E">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078BF" w14:textId="77777777" w:rsidR="00A77B3E" w:rsidRDefault="005A111E">
            <w:pPr>
              <w:spacing w:before="100"/>
              <w:rPr>
                <w:color w:val="000000"/>
                <w:sz w:val="20"/>
              </w:rPr>
            </w:pPr>
            <w:r>
              <w:rPr>
                <w:color w:val="000000"/>
                <w:sz w:val="20"/>
              </w:rPr>
              <w:t>EMCO01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5028A" w14:textId="77777777" w:rsidR="00A77B3E" w:rsidRPr="00DF1E49" w:rsidRDefault="005A111E">
            <w:pPr>
              <w:spacing w:before="100"/>
              <w:rPr>
                <w:color w:val="000000"/>
                <w:sz w:val="20"/>
                <w:lang w:val="it-IT"/>
              </w:rPr>
            </w:pPr>
            <w:r w:rsidRPr="00DF1E49">
              <w:rPr>
                <w:color w:val="000000"/>
                <w:sz w:val="20"/>
                <w:lang w:val="it-IT"/>
              </w:rPr>
              <w:t>Skupna vrednost razdeljene hrane in blaga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F4918" w14:textId="77777777" w:rsidR="00A77B3E" w:rsidRDefault="005A111E">
            <w:pPr>
              <w:spacing w:before="100"/>
              <w:rPr>
                <w:color w:val="000000"/>
                <w:sz w:val="20"/>
              </w:rPr>
            </w:pPr>
            <w:r>
              <w:rPr>
                <w:color w:val="000000"/>
                <w:sz w:val="20"/>
              </w:rPr>
              <w:t>euro</w:t>
            </w:r>
          </w:p>
        </w:tc>
      </w:tr>
      <w:tr w:rsidR="00DE13D3" w14:paraId="7F9424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C79FD"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0D0BA"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4460A"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FB8A4" w14:textId="77777777" w:rsidR="00A77B3E" w:rsidRDefault="005A111E">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B183B" w14:textId="77777777" w:rsidR="00A77B3E" w:rsidRDefault="005A111E">
            <w:pPr>
              <w:spacing w:before="100"/>
              <w:rPr>
                <w:color w:val="000000"/>
                <w:sz w:val="20"/>
              </w:rPr>
            </w:pPr>
            <w:r>
              <w:rPr>
                <w:color w:val="000000"/>
                <w:sz w:val="20"/>
              </w:rPr>
              <w:t>EMCO02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D9987" w14:textId="77777777" w:rsidR="00A77B3E" w:rsidRDefault="005A111E">
            <w:pPr>
              <w:spacing w:before="100"/>
              <w:rPr>
                <w:color w:val="000000"/>
                <w:sz w:val="20"/>
              </w:rPr>
            </w:pPr>
            <w:r>
              <w:rPr>
                <w:color w:val="000000"/>
                <w:sz w:val="20"/>
              </w:rPr>
              <w:t>Skupna vrednost pomoči v hrani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7A0E5" w14:textId="77777777" w:rsidR="00A77B3E" w:rsidRDefault="005A111E">
            <w:pPr>
              <w:spacing w:before="100"/>
              <w:rPr>
                <w:color w:val="000000"/>
                <w:sz w:val="20"/>
              </w:rPr>
            </w:pPr>
            <w:r>
              <w:rPr>
                <w:color w:val="000000"/>
                <w:sz w:val="20"/>
              </w:rPr>
              <w:t>euro</w:t>
            </w:r>
          </w:p>
        </w:tc>
      </w:tr>
      <w:tr w:rsidR="00DE13D3" w14:paraId="54ECE4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12670"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C904B"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885F5"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7D374" w14:textId="77777777" w:rsidR="00A77B3E" w:rsidRDefault="005A111E">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2805F9" w14:textId="77777777" w:rsidR="00A77B3E" w:rsidRDefault="005A111E">
            <w:pPr>
              <w:spacing w:before="100"/>
              <w:rPr>
                <w:color w:val="000000"/>
                <w:sz w:val="20"/>
              </w:rPr>
            </w:pPr>
            <w:r>
              <w:rPr>
                <w:color w:val="000000"/>
                <w:sz w:val="20"/>
              </w:rPr>
              <w:t>EMCO03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9EC9C" w14:textId="77777777" w:rsidR="00A77B3E" w:rsidRPr="00DF1E49" w:rsidRDefault="005A111E">
            <w:pPr>
              <w:spacing w:before="100"/>
              <w:rPr>
                <w:color w:val="000000"/>
                <w:sz w:val="20"/>
                <w:lang w:val="it-IT"/>
              </w:rPr>
            </w:pPr>
            <w:r w:rsidRPr="00DF1E49">
              <w:rPr>
                <w:color w:val="000000"/>
                <w:sz w:val="20"/>
                <w:lang w:val="it-IT"/>
              </w:rPr>
              <w:t>Skupna denarna vrednost hrane za brezdomce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6FDA1" w14:textId="77777777" w:rsidR="00A77B3E" w:rsidRDefault="005A111E">
            <w:pPr>
              <w:spacing w:before="100"/>
              <w:rPr>
                <w:color w:val="000000"/>
                <w:sz w:val="20"/>
              </w:rPr>
            </w:pPr>
            <w:r>
              <w:rPr>
                <w:color w:val="000000"/>
                <w:sz w:val="20"/>
              </w:rPr>
              <w:t>euro</w:t>
            </w:r>
          </w:p>
        </w:tc>
      </w:tr>
      <w:tr w:rsidR="00DE13D3" w14:paraId="03045B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91C58"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1276C"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230B4"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33465" w14:textId="77777777" w:rsidR="00A77B3E" w:rsidRDefault="005A111E">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DD9B7" w14:textId="77777777" w:rsidR="00A77B3E" w:rsidRDefault="005A111E">
            <w:pPr>
              <w:spacing w:before="100"/>
              <w:rPr>
                <w:color w:val="000000"/>
                <w:sz w:val="20"/>
              </w:rPr>
            </w:pPr>
            <w:r>
              <w:rPr>
                <w:color w:val="000000"/>
                <w:sz w:val="20"/>
              </w:rPr>
              <w:t>EMCO04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5FEDA" w14:textId="77777777" w:rsidR="00A77B3E" w:rsidRDefault="005A111E">
            <w:pPr>
              <w:spacing w:before="100"/>
              <w:rPr>
                <w:color w:val="000000"/>
                <w:sz w:val="20"/>
              </w:rPr>
            </w:pPr>
            <w:r>
              <w:rPr>
                <w:color w:val="000000"/>
                <w:sz w:val="20"/>
              </w:rPr>
              <w:t>Skupna denarna vrednost hrane za druge ciljne skupine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E9B9A" w14:textId="77777777" w:rsidR="00A77B3E" w:rsidRDefault="005A111E">
            <w:pPr>
              <w:spacing w:before="100"/>
              <w:rPr>
                <w:color w:val="000000"/>
                <w:sz w:val="20"/>
              </w:rPr>
            </w:pPr>
            <w:r>
              <w:rPr>
                <w:color w:val="000000"/>
                <w:sz w:val="20"/>
              </w:rPr>
              <w:t>euro</w:t>
            </w:r>
          </w:p>
        </w:tc>
      </w:tr>
      <w:tr w:rsidR="00DE13D3" w14:paraId="7460DF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2C739"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1CA4C"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AA85D"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9E135" w14:textId="77777777" w:rsidR="00A77B3E" w:rsidRDefault="005A111E">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19DF8" w14:textId="77777777" w:rsidR="00A77B3E" w:rsidRDefault="005A111E">
            <w:pPr>
              <w:spacing w:before="100"/>
              <w:rPr>
                <w:color w:val="000000"/>
                <w:sz w:val="20"/>
              </w:rPr>
            </w:pPr>
            <w:r>
              <w:rPr>
                <w:color w:val="000000"/>
                <w:sz w:val="20"/>
              </w:rPr>
              <w:t>EMCO09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62CA0" w14:textId="77777777" w:rsidR="00A77B3E" w:rsidRDefault="005A111E">
            <w:pPr>
              <w:spacing w:before="100"/>
              <w:rPr>
                <w:color w:val="000000"/>
                <w:sz w:val="20"/>
              </w:rPr>
            </w:pPr>
            <w:r>
              <w:rPr>
                <w:color w:val="000000"/>
                <w:sz w:val="20"/>
              </w:rPr>
              <w:t>Skupna količina razdeljene pomoči v hrani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BAE7F1" w14:textId="77777777" w:rsidR="00A77B3E" w:rsidRDefault="005A111E">
            <w:pPr>
              <w:spacing w:before="100"/>
              <w:rPr>
                <w:color w:val="000000"/>
                <w:sz w:val="20"/>
              </w:rPr>
            </w:pPr>
            <w:r>
              <w:rPr>
                <w:color w:val="000000"/>
                <w:sz w:val="20"/>
              </w:rPr>
              <w:t>tone</w:t>
            </w:r>
          </w:p>
        </w:tc>
      </w:tr>
      <w:tr w:rsidR="00DE13D3" w14:paraId="499729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88DD2"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58463"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48E4E"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3ECA0" w14:textId="77777777" w:rsidR="00A77B3E" w:rsidRDefault="005A111E">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9988FF" w14:textId="77777777" w:rsidR="00A77B3E" w:rsidRDefault="005A111E">
            <w:pPr>
              <w:spacing w:before="100"/>
              <w:rPr>
                <w:color w:val="000000"/>
                <w:sz w:val="20"/>
              </w:rPr>
            </w:pPr>
            <w:r>
              <w:rPr>
                <w:color w:val="000000"/>
                <w:sz w:val="20"/>
              </w:rPr>
              <w:t>EMCO11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97FE4" w14:textId="77777777" w:rsidR="00A77B3E" w:rsidRDefault="005A111E">
            <w:pPr>
              <w:spacing w:before="100"/>
              <w:rPr>
                <w:color w:val="000000"/>
                <w:sz w:val="20"/>
              </w:rPr>
            </w:pPr>
            <w:r>
              <w:rPr>
                <w:color w:val="000000"/>
                <w:sz w:val="20"/>
              </w:rPr>
              <w:t>Delež ESS+ v skupni količini razdeljene hrane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C4531" w14:textId="77777777" w:rsidR="00A77B3E" w:rsidRDefault="005A111E">
            <w:pPr>
              <w:spacing w:before="100"/>
              <w:rPr>
                <w:color w:val="000000"/>
                <w:sz w:val="20"/>
              </w:rPr>
            </w:pPr>
            <w:r>
              <w:rPr>
                <w:color w:val="000000"/>
                <w:sz w:val="20"/>
              </w:rPr>
              <w:t>odstotek</w:t>
            </w:r>
          </w:p>
        </w:tc>
      </w:tr>
      <w:tr w:rsidR="00DE13D3" w14:paraId="75A9D4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FC9ED"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273B9"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E45E4"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C12D3" w14:textId="77777777" w:rsidR="00A77B3E" w:rsidRDefault="005A111E">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AD7B5" w14:textId="77777777" w:rsidR="00A77B3E" w:rsidRDefault="005A111E">
            <w:pPr>
              <w:spacing w:before="100"/>
              <w:rPr>
                <w:color w:val="000000"/>
                <w:sz w:val="20"/>
              </w:rPr>
            </w:pPr>
            <w:r>
              <w:rPr>
                <w:color w:val="000000"/>
                <w:sz w:val="20"/>
              </w:rPr>
              <w:t>EMCO01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2174A" w14:textId="77777777" w:rsidR="00A77B3E" w:rsidRPr="00DF1E49" w:rsidRDefault="005A111E">
            <w:pPr>
              <w:spacing w:before="100"/>
              <w:rPr>
                <w:color w:val="000000"/>
                <w:sz w:val="20"/>
                <w:lang w:val="it-IT"/>
              </w:rPr>
            </w:pPr>
            <w:r w:rsidRPr="00DF1E49">
              <w:rPr>
                <w:color w:val="000000"/>
                <w:sz w:val="20"/>
                <w:lang w:val="it-IT"/>
              </w:rPr>
              <w:t>Skupna vrednost razdeljene hrane in blaga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4583C" w14:textId="77777777" w:rsidR="00A77B3E" w:rsidRDefault="005A111E">
            <w:pPr>
              <w:spacing w:before="100"/>
              <w:rPr>
                <w:color w:val="000000"/>
                <w:sz w:val="20"/>
              </w:rPr>
            </w:pPr>
            <w:r>
              <w:rPr>
                <w:color w:val="000000"/>
                <w:sz w:val="20"/>
              </w:rPr>
              <w:t>euro</w:t>
            </w:r>
          </w:p>
        </w:tc>
      </w:tr>
      <w:tr w:rsidR="00DE13D3" w14:paraId="083289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1A9DF"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E9013"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A0E5B"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590A7" w14:textId="77777777" w:rsidR="00A77B3E" w:rsidRDefault="005A111E">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B171C" w14:textId="77777777" w:rsidR="00A77B3E" w:rsidRDefault="005A111E">
            <w:pPr>
              <w:spacing w:before="100"/>
              <w:rPr>
                <w:color w:val="000000"/>
                <w:sz w:val="20"/>
              </w:rPr>
            </w:pPr>
            <w:r>
              <w:rPr>
                <w:color w:val="000000"/>
                <w:sz w:val="20"/>
              </w:rPr>
              <w:t>EMCO02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248BE" w14:textId="77777777" w:rsidR="00A77B3E" w:rsidRDefault="005A111E">
            <w:pPr>
              <w:spacing w:before="100"/>
              <w:rPr>
                <w:color w:val="000000"/>
                <w:sz w:val="20"/>
              </w:rPr>
            </w:pPr>
            <w:r>
              <w:rPr>
                <w:color w:val="000000"/>
                <w:sz w:val="20"/>
              </w:rPr>
              <w:t>Skupna vrednost pomoči v hrani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D6403" w14:textId="77777777" w:rsidR="00A77B3E" w:rsidRDefault="005A111E">
            <w:pPr>
              <w:spacing w:before="100"/>
              <w:rPr>
                <w:color w:val="000000"/>
                <w:sz w:val="20"/>
              </w:rPr>
            </w:pPr>
            <w:r>
              <w:rPr>
                <w:color w:val="000000"/>
                <w:sz w:val="20"/>
              </w:rPr>
              <w:t>euro</w:t>
            </w:r>
          </w:p>
        </w:tc>
      </w:tr>
      <w:tr w:rsidR="00DE13D3" w14:paraId="65A9B5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E04BF"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8D312"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60CE7"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9D452" w14:textId="77777777" w:rsidR="00A77B3E" w:rsidRDefault="005A111E">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31A37" w14:textId="77777777" w:rsidR="00A77B3E" w:rsidRDefault="005A111E">
            <w:pPr>
              <w:spacing w:before="100"/>
              <w:rPr>
                <w:color w:val="000000"/>
                <w:sz w:val="20"/>
              </w:rPr>
            </w:pPr>
            <w:r>
              <w:rPr>
                <w:color w:val="000000"/>
                <w:sz w:val="20"/>
              </w:rPr>
              <w:t>EMCO03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1944F" w14:textId="77777777" w:rsidR="00A77B3E" w:rsidRPr="00DF1E49" w:rsidRDefault="005A111E">
            <w:pPr>
              <w:spacing w:before="100"/>
              <w:rPr>
                <w:color w:val="000000"/>
                <w:sz w:val="20"/>
                <w:lang w:val="it-IT"/>
              </w:rPr>
            </w:pPr>
            <w:r w:rsidRPr="00DF1E49">
              <w:rPr>
                <w:color w:val="000000"/>
                <w:sz w:val="20"/>
                <w:lang w:val="it-IT"/>
              </w:rPr>
              <w:t>Skupna denarna vrednost hrane za brezdomce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37CDA" w14:textId="77777777" w:rsidR="00A77B3E" w:rsidRDefault="005A111E">
            <w:pPr>
              <w:spacing w:before="100"/>
              <w:rPr>
                <w:color w:val="000000"/>
                <w:sz w:val="20"/>
              </w:rPr>
            </w:pPr>
            <w:r>
              <w:rPr>
                <w:color w:val="000000"/>
                <w:sz w:val="20"/>
              </w:rPr>
              <w:t>euro</w:t>
            </w:r>
          </w:p>
        </w:tc>
      </w:tr>
      <w:tr w:rsidR="00DE13D3" w14:paraId="737A8C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2D92A" w14:textId="77777777" w:rsidR="00A77B3E" w:rsidRDefault="005A111E">
            <w:pPr>
              <w:spacing w:before="100"/>
              <w:rPr>
                <w:color w:val="000000"/>
                <w:sz w:val="20"/>
              </w:rPr>
            </w:pPr>
            <w:r>
              <w:rPr>
                <w:color w:val="000000"/>
                <w:sz w:val="2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1F8AD"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DC535"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38394" w14:textId="77777777" w:rsidR="00A77B3E" w:rsidRDefault="005A111E">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BB262" w14:textId="77777777" w:rsidR="00A77B3E" w:rsidRDefault="005A111E">
            <w:pPr>
              <w:spacing w:before="100"/>
              <w:rPr>
                <w:color w:val="000000"/>
                <w:sz w:val="20"/>
              </w:rPr>
            </w:pPr>
            <w:r>
              <w:rPr>
                <w:color w:val="000000"/>
                <w:sz w:val="20"/>
              </w:rPr>
              <w:t>EMCO04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74FEA" w14:textId="77777777" w:rsidR="00A77B3E" w:rsidRDefault="005A111E">
            <w:pPr>
              <w:spacing w:before="100"/>
              <w:rPr>
                <w:color w:val="000000"/>
                <w:sz w:val="20"/>
              </w:rPr>
            </w:pPr>
            <w:r>
              <w:rPr>
                <w:color w:val="000000"/>
                <w:sz w:val="20"/>
              </w:rPr>
              <w:t>Skupna denarna vrednost hrane za druge ciljne skupine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19694" w14:textId="77777777" w:rsidR="00A77B3E" w:rsidRDefault="005A111E">
            <w:pPr>
              <w:spacing w:before="100"/>
              <w:rPr>
                <w:color w:val="000000"/>
                <w:sz w:val="20"/>
              </w:rPr>
            </w:pPr>
            <w:r>
              <w:rPr>
                <w:color w:val="000000"/>
                <w:sz w:val="20"/>
              </w:rPr>
              <w:t>euro</w:t>
            </w:r>
          </w:p>
        </w:tc>
      </w:tr>
      <w:tr w:rsidR="00DE13D3" w14:paraId="55EBC5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B91DC"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7752C"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6E111"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518F9" w14:textId="77777777" w:rsidR="00A77B3E" w:rsidRDefault="005A111E">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BF375" w14:textId="77777777" w:rsidR="00A77B3E" w:rsidRDefault="005A111E">
            <w:pPr>
              <w:spacing w:before="100"/>
              <w:rPr>
                <w:color w:val="000000"/>
                <w:sz w:val="20"/>
              </w:rPr>
            </w:pPr>
            <w:r>
              <w:rPr>
                <w:color w:val="000000"/>
                <w:sz w:val="20"/>
              </w:rPr>
              <w:t>EMCO09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791AA" w14:textId="77777777" w:rsidR="00A77B3E" w:rsidRDefault="005A111E">
            <w:pPr>
              <w:spacing w:before="100"/>
              <w:rPr>
                <w:color w:val="000000"/>
                <w:sz w:val="20"/>
              </w:rPr>
            </w:pPr>
            <w:r>
              <w:rPr>
                <w:color w:val="000000"/>
                <w:sz w:val="20"/>
              </w:rPr>
              <w:t>Skupna količina razdeljene pomoči v hrani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C0F81" w14:textId="77777777" w:rsidR="00A77B3E" w:rsidRDefault="005A111E">
            <w:pPr>
              <w:spacing w:before="100"/>
              <w:rPr>
                <w:color w:val="000000"/>
                <w:sz w:val="20"/>
              </w:rPr>
            </w:pPr>
            <w:r>
              <w:rPr>
                <w:color w:val="000000"/>
                <w:sz w:val="20"/>
              </w:rPr>
              <w:t>tone</w:t>
            </w:r>
          </w:p>
        </w:tc>
      </w:tr>
      <w:tr w:rsidR="00DE13D3" w14:paraId="13C416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54A52"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0FECF"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C2EED"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1313B" w14:textId="77777777" w:rsidR="00A77B3E" w:rsidRDefault="005A111E">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A9D4B" w14:textId="77777777" w:rsidR="00A77B3E" w:rsidRDefault="005A111E">
            <w:pPr>
              <w:spacing w:before="100"/>
              <w:rPr>
                <w:color w:val="000000"/>
                <w:sz w:val="20"/>
              </w:rPr>
            </w:pPr>
            <w:r>
              <w:rPr>
                <w:color w:val="000000"/>
                <w:sz w:val="20"/>
              </w:rPr>
              <w:t>EMCO11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11F90" w14:textId="77777777" w:rsidR="00A77B3E" w:rsidRDefault="005A111E">
            <w:pPr>
              <w:spacing w:before="100"/>
              <w:rPr>
                <w:color w:val="000000"/>
                <w:sz w:val="20"/>
              </w:rPr>
            </w:pPr>
            <w:r>
              <w:rPr>
                <w:color w:val="000000"/>
                <w:sz w:val="20"/>
              </w:rPr>
              <w:t>Delež ESS+ v skupni količini razdeljene hrane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49E91" w14:textId="77777777" w:rsidR="00A77B3E" w:rsidRDefault="005A111E">
            <w:pPr>
              <w:spacing w:before="100"/>
              <w:rPr>
                <w:color w:val="000000"/>
                <w:sz w:val="20"/>
              </w:rPr>
            </w:pPr>
            <w:r>
              <w:rPr>
                <w:color w:val="000000"/>
                <w:sz w:val="20"/>
              </w:rPr>
              <w:t>odstotek</w:t>
            </w:r>
          </w:p>
        </w:tc>
      </w:tr>
    </w:tbl>
    <w:p w14:paraId="64AFDAC2" w14:textId="77777777" w:rsidR="00A77B3E" w:rsidRDefault="00A77B3E">
      <w:pPr>
        <w:spacing w:before="100"/>
        <w:rPr>
          <w:color w:val="000000"/>
          <w:sz w:val="20"/>
        </w:rPr>
      </w:pPr>
    </w:p>
    <w:p w14:paraId="496836D1" w14:textId="77777777" w:rsidR="00A77B3E" w:rsidRDefault="005A111E">
      <w:pPr>
        <w:pStyle w:val="Naslov5"/>
        <w:spacing w:before="100" w:after="0"/>
        <w:rPr>
          <w:b w:val="0"/>
          <w:i w:val="0"/>
          <w:color w:val="000000"/>
          <w:sz w:val="24"/>
        </w:rPr>
      </w:pPr>
      <w:bookmarkStart w:id="13" w:name="_Toc256000072"/>
      <w:r>
        <w:rPr>
          <w:b w:val="0"/>
          <w:i w:val="0"/>
          <w:color w:val="000000"/>
          <w:sz w:val="24"/>
        </w:rPr>
        <w:t>Tabela 3: Kazalniki rezultatov</w:t>
      </w:r>
      <w:bookmarkEnd w:id="13"/>
    </w:p>
    <w:p w14:paraId="3E0BD0C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099"/>
        <w:gridCol w:w="578"/>
        <w:gridCol w:w="1336"/>
        <w:gridCol w:w="1120"/>
        <w:gridCol w:w="3385"/>
        <w:gridCol w:w="985"/>
        <w:gridCol w:w="1436"/>
        <w:gridCol w:w="1234"/>
        <w:gridCol w:w="1863"/>
        <w:gridCol w:w="809"/>
      </w:tblGrid>
      <w:tr w:rsidR="00DE13D3" w14:paraId="4B5160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5669B7" w14:textId="77777777" w:rsidR="00A77B3E" w:rsidRDefault="005A111E">
            <w:pPr>
              <w:spacing w:before="100"/>
              <w:jc w:val="center"/>
              <w:rPr>
                <w:color w:val="000000"/>
                <w:sz w:val="20"/>
              </w:rPr>
            </w:pPr>
            <w:r>
              <w:rPr>
                <w:color w:val="000000"/>
                <w:sz w:val="20"/>
              </w:rPr>
              <w:t>Prednostna naloga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228D7D" w14:textId="77777777" w:rsidR="00A77B3E" w:rsidRDefault="005A111E">
            <w:pPr>
              <w:spacing w:before="100"/>
              <w:jc w:val="center"/>
              <w:rPr>
                <w:color w:val="000000"/>
                <w:sz w:val="20"/>
              </w:rPr>
            </w:pPr>
            <w:r>
              <w:rPr>
                <w:color w:val="000000"/>
                <w:sz w:val="20"/>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9ABF7C" w14:textId="77777777" w:rsidR="00A77B3E" w:rsidRDefault="005A111E">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B0F865" w14:textId="77777777" w:rsidR="00A77B3E" w:rsidRDefault="005A111E">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3640BC" w14:textId="77777777" w:rsidR="00A77B3E" w:rsidRDefault="005A111E">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5E6ADB" w14:textId="77777777" w:rsidR="00A77B3E" w:rsidRDefault="005A111E">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35FF17" w14:textId="77777777" w:rsidR="00A77B3E" w:rsidRDefault="005A111E">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8803A7" w14:textId="77777777" w:rsidR="00A77B3E" w:rsidRDefault="005A111E">
            <w:pPr>
              <w:spacing w:before="100"/>
              <w:jc w:val="center"/>
              <w:rPr>
                <w:color w:val="000000"/>
                <w:sz w:val="20"/>
              </w:rPr>
            </w:pPr>
            <w:r>
              <w:rPr>
                <w:color w:val="000000"/>
                <w:sz w:val="20"/>
              </w:rPr>
              <w:t>Referenčna vrednost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00DF88" w14:textId="77777777" w:rsidR="00A77B3E" w:rsidRDefault="005A111E">
            <w:pPr>
              <w:spacing w:before="100"/>
              <w:jc w:val="center"/>
              <w:rPr>
                <w:color w:val="000000"/>
                <w:sz w:val="20"/>
              </w:rPr>
            </w:pPr>
            <w:r>
              <w:rPr>
                <w:color w:val="000000"/>
                <w:sz w:val="20"/>
              </w:rPr>
              <w:t>Referenčno leto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8C3149" w14:textId="77777777" w:rsidR="00A77B3E" w:rsidRDefault="005A111E">
            <w:pPr>
              <w:spacing w:before="100"/>
              <w:jc w:val="center"/>
              <w:rPr>
                <w:color w:val="000000"/>
                <w:sz w:val="20"/>
              </w:rPr>
            </w:pPr>
            <w:r>
              <w:rPr>
                <w:color w:val="000000"/>
                <w:sz w:val="20"/>
              </w:rPr>
              <w:t>Vir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4B7EEE" w14:textId="77777777" w:rsidR="00A77B3E" w:rsidRDefault="005A111E">
            <w:pPr>
              <w:spacing w:before="100"/>
              <w:jc w:val="center"/>
              <w:rPr>
                <w:color w:val="000000"/>
                <w:sz w:val="20"/>
              </w:rPr>
            </w:pPr>
            <w:r>
              <w:rPr>
                <w:color w:val="000000"/>
                <w:sz w:val="20"/>
              </w:rPr>
              <w:t>Opombe</w:t>
            </w:r>
          </w:p>
        </w:tc>
      </w:tr>
      <w:tr w:rsidR="00DE13D3" w14:paraId="63BFB4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677C1"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CEE4C"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EA283"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D71AE" w14:textId="77777777" w:rsidR="00A77B3E" w:rsidRDefault="005A111E">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EDDE1" w14:textId="77777777" w:rsidR="00A77B3E" w:rsidRDefault="005A111E">
            <w:pPr>
              <w:spacing w:before="100"/>
              <w:rPr>
                <w:color w:val="000000"/>
                <w:sz w:val="20"/>
              </w:rPr>
            </w:pPr>
            <w:r>
              <w:rPr>
                <w:color w:val="000000"/>
                <w:sz w:val="20"/>
              </w:rPr>
              <w:t>EMCR01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2C705" w14:textId="77777777" w:rsidR="00A77B3E" w:rsidRDefault="005A111E">
            <w:pPr>
              <w:spacing w:before="100"/>
              <w:rPr>
                <w:color w:val="000000"/>
                <w:sz w:val="20"/>
              </w:rPr>
            </w:pPr>
            <w:r>
              <w:rPr>
                <w:color w:val="000000"/>
                <w:sz w:val="20"/>
              </w:rPr>
              <w:t>Število končnih prejemnikov pomoči v hrani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9F332" w14:textId="77777777" w:rsidR="00A77B3E" w:rsidRDefault="005A111E">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3799D" w14:textId="77777777" w:rsidR="00A77B3E" w:rsidRDefault="005A111E">
            <w:pPr>
              <w:spacing w:before="100"/>
              <w:jc w:val="right"/>
              <w:rPr>
                <w:color w:val="000000"/>
                <w:sz w:val="20"/>
              </w:rPr>
            </w:pPr>
            <w:r>
              <w:rPr>
                <w:color w:val="000000"/>
                <w:sz w:val="20"/>
              </w:rPr>
              <w:t>65.564,00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D5B92" w14:textId="77777777" w:rsidR="00A77B3E" w:rsidRDefault="005A111E">
            <w:pPr>
              <w:spacing w:before="100"/>
              <w:jc w:val="center"/>
              <w:rPr>
                <w:color w:val="000000"/>
                <w:sz w:val="20"/>
              </w:rPr>
            </w:pPr>
            <w:r>
              <w:rPr>
                <w:color w:val="000000"/>
                <w:sz w:val="20"/>
              </w:rPr>
              <w:t>2022-2024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ED138" w14:textId="77777777" w:rsidR="00A77B3E" w:rsidRDefault="005A111E">
            <w:pPr>
              <w:spacing w:before="100"/>
              <w:rPr>
                <w:color w:val="000000"/>
                <w:sz w:val="20"/>
              </w:rPr>
            </w:pPr>
            <w:r>
              <w:rPr>
                <w:color w:val="000000"/>
                <w:sz w:val="20"/>
              </w:rPr>
              <w:t>Letna poročila upravičencev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D41BC" w14:textId="77777777" w:rsidR="00A77B3E" w:rsidRDefault="00A77B3E">
            <w:pPr>
              <w:spacing w:before="100"/>
              <w:rPr>
                <w:color w:val="000000"/>
                <w:sz w:val="20"/>
              </w:rPr>
            </w:pPr>
          </w:p>
        </w:tc>
      </w:tr>
      <w:tr w:rsidR="00DE13D3" w14:paraId="5CAC28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8A8F1"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5F86C"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81D08"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E6E90" w14:textId="77777777" w:rsidR="00A77B3E" w:rsidRDefault="005A111E">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435B1" w14:textId="77777777" w:rsidR="00A77B3E" w:rsidRDefault="005A111E">
            <w:pPr>
              <w:spacing w:before="100"/>
              <w:rPr>
                <w:color w:val="000000"/>
                <w:sz w:val="20"/>
              </w:rPr>
            </w:pPr>
            <w:r>
              <w:rPr>
                <w:color w:val="000000"/>
                <w:sz w:val="20"/>
              </w:rPr>
              <w:t>EMCR02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CCE07" w14:textId="77777777" w:rsidR="00A77B3E" w:rsidRDefault="005A111E">
            <w:pPr>
              <w:spacing w:before="100"/>
              <w:rPr>
                <w:color w:val="000000"/>
                <w:sz w:val="20"/>
              </w:rPr>
            </w:pPr>
            <w:r>
              <w:rPr>
                <w:color w:val="000000"/>
                <w:sz w:val="20"/>
              </w:rPr>
              <w:t>Število otrok, mlajših od 18 let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88670" w14:textId="77777777" w:rsidR="00A77B3E" w:rsidRDefault="005A111E">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A2A65" w14:textId="77777777" w:rsidR="00A77B3E" w:rsidRDefault="005A111E">
            <w:pPr>
              <w:spacing w:before="100"/>
              <w:jc w:val="right"/>
              <w:rPr>
                <w:color w:val="000000"/>
                <w:sz w:val="20"/>
              </w:rPr>
            </w:pPr>
            <w:r>
              <w:rPr>
                <w:color w:val="000000"/>
                <w:sz w:val="20"/>
              </w:rPr>
              <w:t>14.291,00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91589" w14:textId="77777777" w:rsidR="00A77B3E" w:rsidRDefault="005A111E">
            <w:pPr>
              <w:spacing w:before="100"/>
              <w:jc w:val="center"/>
              <w:rPr>
                <w:color w:val="000000"/>
                <w:sz w:val="20"/>
              </w:rPr>
            </w:pPr>
            <w:r>
              <w:rPr>
                <w:color w:val="000000"/>
                <w:sz w:val="20"/>
              </w:rPr>
              <w:t>2022-2024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C03D8" w14:textId="77777777" w:rsidR="00A77B3E" w:rsidRDefault="005A111E">
            <w:pPr>
              <w:spacing w:before="100"/>
              <w:rPr>
                <w:color w:val="000000"/>
                <w:sz w:val="20"/>
              </w:rPr>
            </w:pPr>
            <w:r>
              <w:rPr>
                <w:color w:val="000000"/>
                <w:sz w:val="20"/>
              </w:rPr>
              <w:t>Letna poročila upravičencev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C5A2D" w14:textId="77777777" w:rsidR="00A77B3E" w:rsidRDefault="00A77B3E">
            <w:pPr>
              <w:spacing w:before="100"/>
              <w:rPr>
                <w:color w:val="000000"/>
                <w:sz w:val="20"/>
              </w:rPr>
            </w:pPr>
          </w:p>
        </w:tc>
      </w:tr>
      <w:tr w:rsidR="00DE13D3" w14:paraId="63B163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F1F0C"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6ED8C"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3D3B2"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D4A93" w14:textId="77777777" w:rsidR="00A77B3E" w:rsidRDefault="005A111E">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2CD5C" w14:textId="77777777" w:rsidR="00A77B3E" w:rsidRDefault="005A111E">
            <w:pPr>
              <w:spacing w:before="100"/>
              <w:rPr>
                <w:color w:val="000000"/>
                <w:sz w:val="20"/>
              </w:rPr>
            </w:pPr>
            <w:r>
              <w:rPr>
                <w:color w:val="000000"/>
                <w:sz w:val="20"/>
              </w:rPr>
              <w:t>EMCR04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D01BD" w14:textId="77777777" w:rsidR="00A77B3E" w:rsidRDefault="005A111E">
            <w:pPr>
              <w:spacing w:before="100"/>
              <w:rPr>
                <w:color w:val="000000"/>
                <w:sz w:val="20"/>
              </w:rPr>
            </w:pPr>
            <w:r>
              <w:rPr>
                <w:color w:val="000000"/>
                <w:sz w:val="20"/>
              </w:rPr>
              <w:t>Število žensk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875CC" w14:textId="77777777" w:rsidR="00A77B3E" w:rsidRDefault="005A111E">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BC730" w14:textId="77777777" w:rsidR="00A77B3E" w:rsidRDefault="005A111E">
            <w:pPr>
              <w:spacing w:before="100"/>
              <w:jc w:val="right"/>
              <w:rPr>
                <w:color w:val="000000"/>
                <w:sz w:val="20"/>
              </w:rPr>
            </w:pPr>
            <w:r>
              <w:rPr>
                <w:color w:val="000000"/>
                <w:sz w:val="20"/>
              </w:rPr>
              <w:t>34.113,00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53920" w14:textId="77777777" w:rsidR="00A77B3E" w:rsidRDefault="005A111E">
            <w:pPr>
              <w:spacing w:before="100"/>
              <w:jc w:val="center"/>
              <w:rPr>
                <w:color w:val="000000"/>
                <w:sz w:val="20"/>
              </w:rPr>
            </w:pPr>
            <w:r>
              <w:rPr>
                <w:color w:val="000000"/>
                <w:sz w:val="20"/>
              </w:rPr>
              <w:t>2022-2024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D85C6" w14:textId="77777777" w:rsidR="00A77B3E" w:rsidRDefault="005A111E">
            <w:pPr>
              <w:spacing w:before="100"/>
              <w:rPr>
                <w:color w:val="000000"/>
                <w:sz w:val="20"/>
              </w:rPr>
            </w:pPr>
            <w:r>
              <w:rPr>
                <w:color w:val="000000"/>
                <w:sz w:val="20"/>
              </w:rPr>
              <w:t>Letna poročila upravičencev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1CE3B" w14:textId="77777777" w:rsidR="00A77B3E" w:rsidRDefault="00A77B3E">
            <w:pPr>
              <w:spacing w:before="100"/>
              <w:rPr>
                <w:color w:val="000000"/>
                <w:sz w:val="20"/>
              </w:rPr>
            </w:pPr>
          </w:p>
        </w:tc>
      </w:tr>
      <w:tr w:rsidR="00DE13D3" w14:paraId="1B25EA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57704"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39E56"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E0077"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4AA0C" w14:textId="77777777" w:rsidR="00A77B3E" w:rsidRDefault="005A111E">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C7FE1" w14:textId="77777777" w:rsidR="00A77B3E" w:rsidRDefault="005A111E">
            <w:pPr>
              <w:spacing w:before="100"/>
              <w:rPr>
                <w:color w:val="000000"/>
                <w:sz w:val="20"/>
              </w:rPr>
            </w:pPr>
            <w:r>
              <w:rPr>
                <w:color w:val="000000"/>
                <w:sz w:val="20"/>
              </w:rPr>
              <w:t>EMCR05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29555" w14:textId="77777777" w:rsidR="00A77B3E" w:rsidRDefault="005A111E">
            <w:pPr>
              <w:spacing w:before="100"/>
              <w:rPr>
                <w:color w:val="000000"/>
                <w:sz w:val="20"/>
              </w:rPr>
            </w:pPr>
            <w:r>
              <w:rPr>
                <w:color w:val="000000"/>
                <w:sz w:val="20"/>
              </w:rPr>
              <w:t>Število končnih prejemnikov, starih 65 let in več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7B95F" w14:textId="77777777" w:rsidR="00A77B3E" w:rsidRDefault="005A111E">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F1CAC" w14:textId="77777777" w:rsidR="00A77B3E" w:rsidRDefault="005A111E">
            <w:pPr>
              <w:spacing w:before="100"/>
              <w:jc w:val="right"/>
              <w:rPr>
                <w:color w:val="000000"/>
                <w:sz w:val="20"/>
              </w:rPr>
            </w:pPr>
            <w:r>
              <w:rPr>
                <w:color w:val="000000"/>
                <w:sz w:val="20"/>
              </w:rPr>
              <w:t>10.444,00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BBDF0" w14:textId="77777777" w:rsidR="00A77B3E" w:rsidRDefault="005A111E">
            <w:pPr>
              <w:spacing w:before="100"/>
              <w:jc w:val="center"/>
              <w:rPr>
                <w:color w:val="000000"/>
                <w:sz w:val="20"/>
              </w:rPr>
            </w:pPr>
            <w:r>
              <w:rPr>
                <w:color w:val="000000"/>
                <w:sz w:val="20"/>
              </w:rPr>
              <w:t>2022-2024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276A7" w14:textId="77777777" w:rsidR="00A77B3E" w:rsidRDefault="005A111E">
            <w:pPr>
              <w:spacing w:before="100"/>
              <w:rPr>
                <w:color w:val="000000"/>
                <w:sz w:val="20"/>
              </w:rPr>
            </w:pPr>
            <w:r>
              <w:rPr>
                <w:color w:val="000000"/>
                <w:sz w:val="20"/>
              </w:rPr>
              <w:t>Letno poročilo upravičencev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ED60A" w14:textId="77777777" w:rsidR="00A77B3E" w:rsidRDefault="00A77B3E">
            <w:pPr>
              <w:spacing w:before="100"/>
              <w:rPr>
                <w:color w:val="000000"/>
                <w:sz w:val="20"/>
              </w:rPr>
            </w:pPr>
          </w:p>
        </w:tc>
      </w:tr>
      <w:tr w:rsidR="00DE13D3" w14:paraId="6911D8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CDC7C"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34DB3"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89EE5"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4B35A" w14:textId="77777777" w:rsidR="00A77B3E" w:rsidRDefault="005A111E">
            <w:pPr>
              <w:spacing w:before="100"/>
              <w:rPr>
                <w:color w:val="000000"/>
                <w:sz w:val="20"/>
              </w:rPr>
            </w:pPr>
            <w:r>
              <w:rPr>
                <w:color w:val="000000"/>
                <w:sz w:val="20"/>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13658" w14:textId="77777777" w:rsidR="00A77B3E" w:rsidRDefault="005A111E">
            <w:pPr>
              <w:spacing w:before="100"/>
              <w:rPr>
                <w:color w:val="000000"/>
                <w:sz w:val="20"/>
              </w:rPr>
            </w:pPr>
            <w:r>
              <w:rPr>
                <w:color w:val="000000"/>
                <w:sz w:val="20"/>
              </w:rPr>
              <w:t>P/1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EC613" w14:textId="77777777" w:rsidR="00A77B3E" w:rsidRDefault="005A111E">
            <w:pPr>
              <w:spacing w:before="100"/>
              <w:rPr>
                <w:color w:val="000000"/>
                <w:sz w:val="20"/>
              </w:rPr>
            </w:pPr>
            <w:r>
              <w:rPr>
                <w:color w:val="000000"/>
                <w:sz w:val="20"/>
              </w:rPr>
              <w:t>Delež vključenih končnih prejemnikov v spremljevalne ukrepe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1CD9F" w14:textId="77777777" w:rsidR="00A77B3E" w:rsidRDefault="005A111E">
            <w:pPr>
              <w:spacing w:before="100"/>
              <w:rPr>
                <w:color w:val="000000"/>
                <w:sz w:val="20"/>
              </w:rPr>
            </w:pPr>
            <w:r>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A3D61" w14:textId="77777777" w:rsidR="00A77B3E" w:rsidRDefault="005A111E">
            <w:pPr>
              <w:spacing w:before="100"/>
              <w:jc w:val="right"/>
              <w:rPr>
                <w:color w:val="000000"/>
                <w:sz w:val="20"/>
              </w:rPr>
            </w:pPr>
            <w:r>
              <w:rPr>
                <w:color w:val="000000"/>
                <w:sz w:val="20"/>
              </w:rPr>
              <w:t>70,00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18C60" w14:textId="77777777" w:rsidR="00A77B3E" w:rsidRDefault="005A111E">
            <w:pPr>
              <w:spacing w:before="100"/>
              <w:jc w:val="center"/>
              <w:rPr>
                <w:color w:val="000000"/>
                <w:sz w:val="20"/>
              </w:rPr>
            </w:pPr>
            <w:r>
              <w:rPr>
                <w:color w:val="000000"/>
                <w:sz w:val="20"/>
              </w:rPr>
              <w:t>2022-2024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32C6C" w14:textId="77777777" w:rsidR="00A77B3E" w:rsidRDefault="005A111E">
            <w:pPr>
              <w:spacing w:before="100"/>
              <w:rPr>
                <w:color w:val="000000"/>
                <w:sz w:val="20"/>
              </w:rPr>
            </w:pPr>
            <w:r>
              <w:rPr>
                <w:color w:val="000000"/>
                <w:sz w:val="20"/>
              </w:rPr>
              <w:t>Letno poročilo upravičencev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BF423" w14:textId="77777777" w:rsidR="00A77B3E" w:rsidRDefault="00A77B3E">
            <w:pPr>
              <w:spacing w:before="100"/>
              <w:rPr>
                <w:color w:val="000000"/>
                <w:sz w:val="20"/>
              </w:rPr>
            </w:pPr>
          </w:p>
        </w:tc>
      </w:tr>
      <w:tr w:rsidR="00DE13D3" w14:paraId="7F32AD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71480"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A5F25"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0F6F8"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F4A7A" w14:textId="77777777" w:rsidR="00A77B3E" w:rsidRDefault="005A111E">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927F9" w14:textId="77777777" w:rsidR="00A77B3E" w:rsidRDefault="005A111E">
            <w:pPr>
              <w:spacing w:before="100"/>
              <w:rPr>
                <w:color w:val="000000"/>
                <w:sz w:val="20"/>
              </w:rPr>
            </w:pPr>
            <w:r>
              <w:rPr>
                <w:color w:val="000000"/>
                <w:sz w:val="20"/>
              </w:rPr>
              <w:t>EMCR01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F6CD3" w14:textId="77777777" w:rsidR="00A77B3E" w:rsidRDefault="005A111E">
            <w:pPr>
              <w:spacing w:before="100"/>
              <w:rPr>
                <w:color w:val="000000"/>
                <w:sz w:val="20"/>
              </w:rPr>
            </w:pPr>
            <w:r>
              <w:rPr>
                <w:color w:val="000000"/>
                <w:sz w:val="20"/>
              </w:rPr>
              <w:t>Število končnih prejemnikov pomoči v hrani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EADAD" w14:textId="77777777" w:rsidR="00A77B3E" w:rsidRDefault="005A111E">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98337" w14:textId="77777777" w:rsidR="00A77B3E" w:rsidRDefault="005A111E">
            <w:pPr>
              <w:spacing w:before="100"/>
              <w:jc w:val="right"/>
              <w:rPr>
                <w:color w:val="000000"/>
                <w:sz w:val="20"/>
              </w:rPr>
            </w:pPr>
            <w:r>
              <w:rPr>
                <w:color w:val="000000"/>
                <w:sz w:val="20"/>
              </w:rPr>
              <w:t>98.345,00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BA5C0" w14:textId="77777777" w:rsidR="00A77B3E" w:rsidRDefault="005A111E">
            <w:pPr>
              <w:spacing w:before="100"/>
              <w:jc w:val="center"/>
              <w:rPr>
                <w:color w:val="000000"/>
                <w:sz w:val="20"/>
              </w:rPr>
            </w:pPr>
            <w:r>
              <w:rPr>
                <w:color w:val="000000"/>
                <w:sz w:val="20"/>
              </w:rPr>
              <w:t>2022-2024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2AF9D" w14:textId="77777777" w:rsidR="00A77B3E" w:rsidRDefault="005A111E">
            <w:pPr>
              <w:spacing w:before="100"/>
              <w:rPr>
                <w:color w:val="000000"/>
                <w:sz w:val="20"/>
              </w:rPr>
            </w:pPr>
            <w:r>
              <w:rPr>
                <w:color w:val="000000"/>
                <w:sz w:val="20"/>
              </w:rPr>
              <w:t>Letna poročila upravičencev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7CD10" w14:textId="77777777" w:rsidR="00A77B3E" w:rsidRDefault="00A77B3E">
            <w:pPr>
              <w:spacing w:before="100"/>
              <w:rPr>
                <w:color w:val="000000"/>
                <w:sz w:val="20"/>
              </w:rPr>
            </w:pPr>
          </w:p>
        </w:tc>
      </w:tr>
      <w:tr w:rsidR="00DE13D3" w14:paraId="7020D8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52462"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1B604"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09F4D"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C43BC" w14:textId="77777777" w:rsidR="00A77B3E" w:rsidRDefault="005A111E">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F5963" w14:textId="77777777" w:rsidR="00A77B3E" w:rsidRDefault="005A111E">
            <w:pPr>
              <w:spacing w:before="100"/>
              <w:rPr>
                <w:color w:val="000000"/>
                <w:sz w:val="20"/>
              </w:rPr>
            </w:pPr>
            <w:r>
              <w:rPr>
                <w:color w:val="000000"/>
                <w:sz w:val="20"/>
              </w:rPr>
              <w:t>EMCR02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51FDA" w14:textId="77777777" w:rsidR="00A77B3E" w:rsidRDefault="005A111E">
            <w:pPr>
              <w:spacing w:before="100"/>
              <w:rPr>
                <w:color w:val="000000"/>
                <w:sz w:val="20"/>
              </w:rPr>
            </w:pPr>
            <w:r>
              <w:rPr>
                <w:color w:val="000000"/>
                <w:sz w:val="20"/>
              </w:rPr>
              <w:t>Število otrok, mlajših od 18 let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3D5D2" w14:textId="77777777" w:rsidR="00A77B3E" w:rsidRDefault="005A111E">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EBB25" w14:textId="77777777" w:rsidR="00A77B3E" w:rsidRDefault="005A111E">
            <w:pPr>
              <w:spacing w:before="100"/>
              <w:jc w:val="right"/>
              <w:rPr>
                <w:color w:val="000000"/>
                <w:sz w:val="20"/>
              </w:rPr>
            </w:pPr>
            <w:r>
              <w:rPr>
                <w:color w:val="000000"/>
                <w:sz w:val="20"/>
              </w:rPr>
              <w:t>21.436,00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E5CD3" w14:textId="77777777" w:rsidR="00A77B3E" w:rsidRDefault="005A111E">
            <w:pPr>
              <w:spacing w:before="100"/>
              <w:jc w:val="center"/>
              <w:rPr>
                <w:color w:val="000000"/>
                <w:sz w:val="20"/>
              </w:rPr>
            </w:pPr>
            <w:r>
              <w:rPr>
                <w:color w:val="000000"/>
                <w:sz w:val="20"/>
              </w:rPr>
              <w:t>2022-2024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BD115" w14:textId="77777777" w:rsidR="00A77B3E" w:rsidRDefault="005A111E">
            <w:pPr>
              <w:spacing w:before="100"/>
              <w:rPr>
                <w:color w:val="000000"/>
                <w:sz w:val="20"/>
              </w:rPr>
            </w:pPr>
            <w:r>
              <w:rPr>
                <w:color w:val="000000"/>
                <w:sz w:val="20"/>
              </w:rPr>
              <w:t>Letna poročila upravičencev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108F1" w14:textId="77777777" w:rsidR="00A77B3E" w:rsidRDefault="00A77B3E">
            <w:pPr>
              <w:spacing w:before="100"/>
              <w:rPr>
                <w:color w:val="000000"/>
                <w:sz w:val="20"/>
              </w:rPr>
            </w:pPr>
          </w:p>
        </w:tc>
      </w:tr>
      <w:tr w:rsidR="00DE13D3" w14:paraId="2A6502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FFD8C"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EA711"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C34C1"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0BA70" w14:textId="77777777" w:rsidR="00A77B3E" w:rsidRDefault="005A111E">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D2ADD" w14:textId="77777777" w:rsidR="00A77B3E" w:rsidRDefault="005A111E">
            <w:pPr>
              <w:spacing w:before="100"/>
              <w:rPr>
                <w:color w:val="000000"/>
                <w:sz w:val="20"/>
              </w:rPr>
            </w:pPr>
            <w:r>
              <w:rPr>
                <w:color w:val="000000"/>
                <w:sz w:val="20"/>
              </w:rPr>
              <w:t>EMCR04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22165" w14:textId="77777777" w:rsidR="00A77B3E" w:rsidRDefault="005A111E">
            <w:pPr>
              <w:spacing w:before="100"/>
              <w:rPr>
                <w:color w:val="000000"/>
                <w:sz w:val="20"/>
              </w:rPr>
            </w:pPr>
            <w:r>
              <w:rPr>
                <w:color w:val="000000"/>
                <w:sz w:val="20"/>
              </w:rPr>
              <w:t>Število žensk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819FA" w14:textId="77777777" w:rsidR="00A77B3E" w:rsidRDefault="005A111E">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95015" w14:textId="77777777" w:rsidR="00A77B3E" w:rsidRDefault="005A111E">
            <w:pPr>
              <w:spacing w:before="100"/>
              <w:jc w:val="right"/>
              <w:rPr>
                <w:color w:val="000000"/>
                <w:sz w:val="20"/>
              </w:rPr>
            </w:pPr>
            <w:r>
              <w:rPr>
                <w:color w:val="000000"/>
                <w:sz w:val="20"/>
              </w:rPr>
              <w:t>51.171,00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1FB51" w14:textId="77777777" w:rsidR="00A77B3E" w:rsidRDefault="005A111E">
            <w:pPr>
              <w:spacing w:before="100"/>
              <w:jc w:val="center"/>
              <w:rPr>
                <w:color w:val="000000"/>
                <w:sz w:val="20"/>
              </w:rPr>
            </w:pPr>
            <w:r>
              <w:rPr>
                <w:color w:val="000000"/>
                <w:sz w:val="20"/>
              </w:rPr>
              <w:t>2022-2024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3030D" w14:textId="77777777" w:rsidR="00A77B3E" w:rsidRDefault="005A111E">
            <w:pPr>
              <w:spacing w:before="100"/>
              <w:rPr>
                <w:color w:val="000000"/>
                <w:sz w:val="20"/>
              </w:rPr>
            </w:pPr>
            <w:r>
              <w:rPr>
                <w:color w:val="000000"/>
                <w:sz w:val="20"/>
              </w:rPr>
              <w:t>Letno poročilo upravičencev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90581" w14:textId="77777777" w:rsidR="00A77B3E" w:rsidRDefault="00A77B3E">
            <w:pPr>
              <w:spacing w:before="100"/>
              <w:rPr>
                <w:color w:val="000000"/>
                <w:sz w:val="20"/>
              </w:rPr>
            </w:pPr>
          </w:p>
        </w:tc>
      </w:tr>
      <w:tr w:rsidR="00DE13D3" w14:paraId="7BE729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9E969"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C1943"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2216B"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8D3B8" w14:textId="77777777" w:rsidR="00A77B3E" w:rsidRDefault="005A111E">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F2F7A" w14:textId="77777777" w:rsidR="00A77B3E" w:rsidRDefault="005A111E">
            <w:pPr>
              <w:spacing w:before="100"/>
              <w:rPr>
                <w:color w:val="000000"/>
                <w:sz w:val="20"/>
              </w:rPr>
            </w:pPr>
            <w:r>
              <w:rPr>
                <w:color w:val="000000"/>
                <w:sz w:val="20"/>
              </w:rPr>
              <w:t>EMCR05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D626B" w14:textId="77777777" w:rsidR="00A77B3E" w:rsidRDefault="005A111E">
            <w:pPr>
              <w:spacing w:before="100"/>
              <w:rPr>
                <w:color w:val="000000"/>
                <w:sz w:val="20"/>
              </w:rPr>
            </w:pPr>
            <w:r>
              <w:rPr>
                <w:color w:val="000000"/>
                <w:sz w:val="20"/>
              </w:rPr>
              <w:t>Število končnih prejemnikov, starih 65 let in več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56988" w14:textId="77777777" w:rsidR="00A77B3E" w:rsidRDefault="005A111E">
            <w:pPr>
              <w:spacing w:before="100"/>
              <w:rPr>
                <w:color w:val="000000"/>
                <w:sz w:val="20"/>
              </w:rPr>
            </w:pPr>
            <w:r>
              <w:rPr>
                <w:color w:val="000000"/>
                <w:sz w:val="20"/>
              </w:rPr>
              <w:t>osebe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E44E6" w14:textId="77777777" w:rsidR="00A77B3E" w:rsidRDefault="005A111E">
            <w:pPr>
              <w:spacing w:before="100"/>
              <w:jc w:val="right"/>
              <w:rPr>
                <w:color w:val="000000"/>
                <w:sz w:val="20"/>
              </w:rPr>
            </w:pPr>
            <w:r>
              <w:rPr>
                <w:color w:val="000000"/>
                <w:sz w:val="20"/>
              </w:rPr>
              <w:t>15.667,00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5F1C3" w14:textId="77777777" w:rsidR="00A77B3E" w:rsidRDefault="005A111E">
            <w:pPr>
              <w:spacing w:before="100"/>
              <w:jc w:val="center"/>
              <w:rPr>
                <w:color w:val="000000"/>
                <w:sz w:val="20"/>
              </w:rPr>
            </w:pPr>
            <w:r>
              <w:rPr>
                <w:color w:val="000000"/>
                <w:sz w:val="20"/>
              </w:rPr>
              <w:t>2022-2024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8A740" w14:textId="77777777" w:rsidR="00A77B3E" w:rsidRDefault="005A111E">
            <w:pPr>
              <w:spacing w:before="100"/>
              <w:rPr>
                <w:color w:val="000000"/>
                <w:sz w:val="20"/>
              </w:rPr>
            </w:pPr>
            <w:r>
              <w:rPr>
                <w:color w:val="000000"/>
                <w:sz w:val="20"/>
              </w:rPr>
              <w:t>Letna poročila upravičencev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4FAD2" w14:textId="77777777" w:rsidR="00A77B3E" w:rsidRDefault="00A77B3E">
            <w:pPr>
              <w:spacing w:before="100"/>
              <w:rPr>
                <w:color w:val="000000"/>
                <w:sz w:val="20"/>
              </w:rPr>
            </w:pPr>
          </w:p>
        </w:tc>
      </w:tr>
      <w:tr w:rsidR="00DE13D3" w14:paraId="4FECCB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DEEA0" w14:textId="77777777" w:rsidR="00A77B3E" w:rsidRDefault="005A111E">
            <w:pPr>
              <w:spacing w:before="100"/>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865D6" w14:textId="77777777" w:rsidR="00A77B3E" w:rsidRDefault="005A111E">
            <w:pPr>
              <w:spacing w:before="100"/>
              <w:rPr>
                <w:color w:val="000000"/>
                <w:sz w:val="20"/>
              </w:rPr>
            </w:pPr>
            <w:r>
              <w:rPr>
                <w:color w:val="000000"/>
                <w:sz w:val="20"/>
              </w:rPr>
              <w:t>ESO4.13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7AA5E" w14:textId="77777777" w:rsidR="00A77B3E" w:rsidRDefault="005A111E">
            <w:pPr>
              <w:spacing w:before="100"/>
              <w:rPr>
                <w:color w:val="000000"/>
                <w:sz w:val="20"/>
              </w:rPr>
            </w:pPr>
            <w:r>
              <w:rPr>
                <w:color w:val="000000"/>
                <w:sz w:val="2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FBA14" w14:textId="77777777" w:rsidR="00A77B3E" w:rsidRDefault="005A111E">
            <w:pPr>
              <w:spacing w:before="100"/>
              <w:rPr>
                <w:color w:val="000000"/>
                <w:sz w:val="20"/>
              </w:rPr>
            </w:pPr>
            <w:r>
              <w:rPr>
                <w:color w:val="000000"/>
                <w:sz w:val="20"/>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27AB0" w14:textId="77777777" w:rsidR="00A77B3E" w:rsidRDefault="005A111E">
            <w:pPr>
              <w:spacing w:before="100"/>
              <w:rPr>
                <w:color w:val="000000"/>
                <w:sz w:val="20"/>
              </w:rPr>
            </w:pPr>
            <w:r>
              <w:rPr>
                <w:color w:val="000000"/>
                <w:sz w:val="20"/>
              </w:rPr>
              <w:t>P/1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9A194" w14:textId="77777777" w:rsidR="00A77B3E" w:rsidRDefault="005A111E">
            <w:pPr>
              <w:spacing w:before="100"/>
              <w:rPr>
                <w:color w:val="000000"/>
                <w:sz w:val="20"/>
              </w:rPr>
            </w:pPr>
            <w:r>
              <w:rPr>
                <w:color w:val="000000"/>
                <w:sz w:val="20"/>
              </w:rPr>
              <w:t>Delež vključenih končnih prejemnikov v spremljevalne ukrepe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89D55" w14:textId="77777777" w:rsidR="00A77B3E" w:rsidRDefault="005A111E">
            <w:pPr>
              <w:spacing w:before="100"/>
              <w:rPr>
                <w:color w:val="000000"/>
                <w:sz w:val="20"/>
              </w:rPr>
            </w:pPr>
            <w:r>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8954E" w14:textId="77777777" w:rsidR="00A77B3E" w:rsidRDefault="005A111E">
            <w:pPr>
              <w:spacing w:before="100"/>
              <w:jc w:val="right"/>
              <w:rPr>
                <w:color w:val="000000"/>
                <w:sz w:val="20"/>
              </w:rPr>
            </w:pPr>
            <w:r>
              <w:rPr>
                <w:color w:val="000000"/>
                <w:sz w:val="20"/>
              </w:rPr>
              <w:t>70,00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4997E" w14:textId="77777777" w:rsidR="00A77B3E" w:rsidRDefault="005A111E">
            <w:pPr>
              <w:spacing w:before="100"/>
              <w:jc w:val="center"/>
              <w:rPr>
                <w:color w:val="000000"/>
                <w:sz w:val="20"/>
              </w:rPr>
            </w:pPr>
            <w:r>
              <w:rPr>
                <w:color w:val="000000"/>
                <w:sz w:val="20"/>
              </w:rPr>
              <w:t>2022-2024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14D8A" w14:textId="77777777" w:rsidR="00A77B3E" w:rsidRDefault="005A111E">
            <w:pPr>
              <w:spacing w:before="100"/>
              <w:rPr>
                <w:color w:val="000000"/>
                <w:sz w:val="20"/>
              </w:rPr>
            </w:pPr>
            <w:r>
              <w:rPr>
                <w:color w:val="000000"/>
                <w:sz w:val="20"/>
              </w:rPr>
              <w:t>Letno poročilo upravičencev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88E02" w14:textId="77777777" w:rsidR="00A77B3E" w:rsidRDefault="00A77B3E">
            <w:pPr>
              <w:spacing w:before="100"/>
              <w:rPr>
                <w:color w:val="000000"/>
                <w:sz w:val="20"/>
              </w:rPr>
            </w:pPr>
          </w:p>
        </w:tc>
      </w:tr>
    </w:tbl>
    <w:p w14:paraId="4A4F7E4C" w14:textId="77777777" w:rsidR="00A77B3E" w:rsidRDefault="00A77B3E">
      <w:pPr>
        <w:spacing w:before="100"/>
        <w:rPr>
          <w:color w:val="000000"/>
          <w:sz w:val="20"/>
        </w:rPr>
      </w:pPr>
    </w:p>
    <w:p w14:paraId="66AD1581" w14:textId="77777777" w:rsidR="00A77B3E" w:rsidRDefault="005A111E">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color w:val="000000"/>
          <w:sz w:val="20"/>
        </w:rPr>
        <w:br w:type="page"/>
      </w:r>
      <w:bookmarkStart w:id="14" w:name="_Toc256000073"/>
      <w:r>
        <w:rPr>
          <w:rFonts w:ascii="Times New Roman" w:hAnsi="Times New Roman" w:cs="Times New Roman"/>
          <w:b w:val="0"/>
          <w:i w:val="0"/>
          <w:color w:val="000000"/>
          <w:sz w:val="24"/>
        </w:rPr>
        <w:lastRenderedPageBreak/>
        <w:t>2.2. Prednostne naloge za tehnično pomoč</w:t>
      </w:r>
      <w:bookmarkEnd w:id="14"/>
    </w:p>
    <w:p w14:paraId="191EE549" w14:textId="77777777" w:rsidR="00A77B3E" w:rsidRDefault="00A77B3E">
      <w:pPr>
        <w:spacing w:before="100"/>
        <w:rPr>
          <w:color w:val="000000"/>
          <w:sz w:val="0"/>
        </w:rPr>
      </w:pPr>
    </w:p>
    <w:p w14:paraId="514ED8D1" w14:textId="77777777" w:rsidR="00A77B3E" w:rsidRDefault="00A77B3E">
      <w:pPr>
        <w:spacing w:before="100"/>
        <w:rPr>
          <w:color w:val="000000"/>
        </w:rPr>
        <w:sectPr w:rsidR="00A77B3E">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864" w:left="936" w:header="288" w:footer="72" w:gutter="0"/>
          <w:cols w:space="720"/>
          <w:noEndnote/>
          <w:docGrid w:linePitch="360"/>
        </w:sectPr>
      </w:pPr>
    </w:p>
    <w:p w14:paraId="58E0A5B6" w14:textId="77777777" w:rsidR="00A77B3E" w:rsidRDefault="005A111E">
      <w:pPr>
        <w:pStyle w:val="Naslov1"/>
        <w:spacing w:before="100" w:after="0"/>
        <w:rPr>
          <w:rFonts w:ascii="Times New Roman" w:hAnsi="Times New Roman" w:cs="Times New Roman"/>
          <w:b w:val="0"/>
          <w:color w:val="000000"/>
          <w:sz w:val="24"/>
        </w:rPr>
      </w:pPr>
      <w:bookmarkStart w:id="15" w:name="_Toc256000074"/>
      <w:r>
        <w:rPr>
          <w:rFonts w:ascii="Times New Roman" w:hAnsi="Times New Roman" w:cs="Times New Roman"/>
          <w:b w:val="0"/>
          <w:color w:val="000000"/>
          <w:sz w:val="24"/>
        </w:rPr>
        <w:lastRenderedPageBreak/>
        <w:t>3. Načrt financiranja</w:t>
      </w:r>
      <w:bookmarkEnd w:id="15"/>
    </w:p>
    <w:p w14:paraId="3D422483" w14:textId="77777777" w:rsidR="00A77B3E" w:rsidRDefault="005A111E">
      <w:pPr>
        <w:spacing w:before="100"/>
        <w:rPr>
          <w:color w:val="000000"/>
        </w:rPr>
      </w:pPr>
      <w:r>
        <w:rPr>
          <w:color w:val="000000"/>
        </w:rPr>
        <w:t xml:space="preserve">Sklic: člen 22(3)(g)(i), (ii) in (iii), člen 112(1), (2) in (3) ter člena 14 in 26 uredbe o skupnih določbah </w:t>
      </w:r>
    </w:p>
    <w:p w14:paraId="2D7F96EC"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16" w:name="_Toc256000075"/>
      <w:r w:rsidRPr="00DF1E49">
        <w:rPr>
          <w:rFonts w:ascii="Times New Roman" w:hAnsi="Times New Roman" w:cs="Times New Roman"/>
          <w:b w:val="0"/>
          <w:i w:val="0"/>
          <w:color w:val="000000"/>
          <w:sz w:val="24"/>
          <w:lang w:val="it-IT"/>
        </w:rPr>
        <w:t>3.1. Prerazporeditve in prispevki (1)</w:t>
      </w:r>
      <w:bookmarkEnd w:id="16"/>
    </w:p>
    <w:p w14:paraId="12CDB3B4" w14:textId="77777777" w:rsidR="00A77B3E" w:rsidRPr="00DF1E49" w:rsidRDefault="00A77B3E">
      <w:pPr>
        <w:spacing w:before="100"/>
        <w:rPr>
          <w:color w:val="000000"/>
          <w:sz w:val="0"/>
          <w:lang w:val="it-IT"/>
        </w:rPr>
      </w:pPr>
    </w:p>
    <w:p w14:paraId="7873BD4E" w14:textId="77777777" w:rsidR="00A77B3E" w:rsidRPr="00DF1E49" w:rsidRDefault="005A111E">
      <w:pPr>
        <w:spacing w:before="100"/>
        <w:rPr>
          <w:color w:val="000000"/>
          <w:sz w:val="16"/>
          <w:lang w:val="it-IT"/>
        </w:rPr>
      </w:pPr>
      <w:r w:rsidRPr="00DF1E49">
        <w:rPr>
          <w:color w:val="000000"/>
          <w:lang w:val="it-IT"/>
        </w:rPr>
        <w:t>Sklic: členi 14, 26 in 27 uredbe o skupnih določbah</w:t>
      </w:r>
    </w:p>
    <w:p w14:paraId="0B324D07" w14:textId="77777777" w:rsidR="00A77B3E" w:rsidRPr="00DF1E49" w:rsidRDefault="00A77B3E">
      <w:pPr>
        <w:spacing w:before="100"/>
        <w:rPr>
          <w:color w:val="000000"/>
          <w:sz w:val="1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11195"/>
      </w:tblGrid>
      <w:tr w:rsidR="00DE13D3" w14:paraId="02127970" w14:textId="77777777">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1CA67" w14:textId="77777777" w:rsidR="00A77B3E" w:rsidRDefault="005A111E">
            <w:pPr>
              <w:spacing w:before="100"/>
              <w:rPr>
                <w:color w:val="000000"/>
              </w:rPr>
            </w:pPr>
            <w:r>
              <w:rPr>
                <w:color w:val="000000"/>
              </w:rPr>
              <w:t>Sprememba programa v zvezi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7EA87C" w14:textId="77777777" w:rsidR="00A77B3E" w:rsidRDefault="005A111E">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prispevek v InvestEU</w:t>
            </w:r>
          </w:p>
        </w:tc>
      </w:tr>
      <w:tr w:rsidR="00DE13D3" w:rsidRPr="00DF1E49" w14:paraId="5EA6A3EE"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96FBE" w14:textId="77777777"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08C63" w14:textId="77777777" w:rsidR="00A77B3E" w:rsidRPr="00DF1E49" w:rsidRDefault="005A111E">
            <w:pPr>
              <w:spacing w:before="100"/>
              <w:rPr>
                <w:color w:val="000000"/>
                <w:lang w:val="it-IT"/>
              </w:rPr>
            </w:pPr>
            <w:r w:rsidRPr="00DF1E49">
              <w:rPr>
                <w:color w:val="000000"/>
                <w:lang w:val="it-IT"/>
              </w:rPr>
              <w:t xml:space="preserve">   </w:t>
            </w:r>
            <w:r>
              <w:rPr>
                <w:color w:val="000000"/>
              </w:rPr>
              <w:fldChar w:fldCharType="begin">
                <w:ffData>
                  <w:name w:val=""/>
                  <w:enabled/>
                  <w:calcOnExit w:val="0"/>
                  <w:checkBox>
                    <w:size w:val="20"/>
                    <w:default w:val="0"/>
                    <w:checked w:val="0"/>
                  </w:checkBox>
                </w:ffData>
              </w:fldChar>
            </w:r>
            <w:r w:rsidRPr="00DF1E49">
              <w:rPr>
                <w:color w:val="000000"/>
                <w:lang w:val="it-IT"/>
              </w:rPr>
              <w:instrText xml:space="preserve"> FORMCHECKBOX </w:instrText>
            </w:r>
            <w:r w:rsidR="00000000">
              <w:rPr>
                <w:color w:val="000000"/>
              </w:rPr>
            </w:r>
            <w:r w:rsidR="00000000">
              <w:rPr>
                <w:color w:val="000000"/>
              </w:rPr>
              <w:fldChar w:fldCharType="separate"/>
            </w:r>
            <w:r>
              <w:rPr>
                <w:color w:val="000000"/>
              </w:rPr>
              <w:fldChar w:fldCharType="end"/>
            </w:r>
            <w:r w:rsidRPr="00DF1E49">
              <w:rPr>
                <w:color w:val="000000"/>
                <w:lang w:val="it-IT"/>
              </w:rPr>
              <w:t xml:space="preserve"> prerazporeditev v instrumente v okviru neposrednega ali posrednega upravljanja</w:t>
            </w:r>
          </w:p>
        </w:tc>
      </w:tr>
      <w:tr w:rsidR="00DE13D3" w14:paraId="556DC7EA"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BC5DE" w14:textId="77777777" w:rsidR="00A77B3E" w:rsidRPr="00DF1E49" w:rsidRDefault="00A77B3E">
            <w:pPr>
              <w:spacing w:before="100"/>
              <w:rPr>
                <w:color w:val="000000"/>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129869" w14:textId="77777777" w:rsidR="00A77B3E" w:rsidRDefault="005A111E">
            <w:pPr>
              <w:spacing w:before="100"/>
              <w:rPr>
                <w:color w:val="000000"/>
              </w:rPr>
            </w:pPr>
            <w:r w:rsidRPr="00DF1E49">
              <w:rPr>
                <w:color w:val="000000"/>
                <w:lang w:val="it-IT"/>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prerazporeditve med ESRR, ESS+ in Kohezijskim skladom ali v drugi sklad ali sklade</w:t>
            </w:r>
          </w:p>
        </w:tc>
      </w:tr>
    </w:tbl>
    <w:p w14:paraId="6F9B38B1" w14:textId="77777777" w:rsidR="00A77B3E" w:rsidRDefault="005A111E">
      <w:pPr>
        <w:spacing w:before="100"/>
        <w:rPr>
          <w:color w:val="000000"/>
        </w:rPr>
      </w:pPr>
      <w:r>
        <w:rPr>
          <w:color w:val="000000"/>
        </w:rPr>
        <w:t xml:space="preserve">(1) Uporablja se samo za spremembe programov v skladu s členoma 14 in 26, razen dopolnilnih prerazporeditev v SPP v skladu s členom 27 uredbe o skupnih določbah. Prerazporeditve ne vplivajo na letno razdelitev odobrenih finančnih sredstev na ravni večletnega finančnega okvira za državo članico. </w:t>
      </w:r>
    </w:p>
    <w:p w14:paraId="30DAD297" w14:textId="77777777" w:rsidR="00A77B3E" w:rsidRDefault="00A77B3E">
      <w:pPr>
        <w:spacing w:before="100"/>
        <w:rPr>
          <w:color w:val="000000"/>
        </w:rPr>
      </w:pPr>
    </w:p>
    <w:p w14:paraId="55CDC119" w14:textId="77777777" w:rsidR="00A77B3E" w:rsidRDefault="00A77B3E">
      <w:pPr>
        <w:spacing w:before="100"/>
        <w:rPr>
          <w:color w:val="000000"/>
        </w:rPr>
      </w:pPr>
    </w:p>
    <w:p w14:paraId="5175B88B" w14:textId="77777777" w:rsidR="00A77B3E" w:rsidRPr="00DF1E49" w:rsidRDefault="005A111E">
      <w:pPr>
        <w:pStyle w:val="Naslov4"/>
        <w:spacing w:before="100" w:after="0"/>
        <w:rPr>
          <w:b w:val="0"/>
          <w:color w:val="000000"/>
          <w:sz w:val="24"/>
          <w:lang w:val="it-IT"/>
        </w:rPr>
      </w:pPr>
      <w:bookmarkStart w:id="17" w:name="_Toc256000076"/>
      <w:r w:rsidRPr="00DF1E49">
        <w:rPr>
          <w:b w:val="0"/>
          <w:color w:val="000000"/>
          <w:sz w:val="24"/>
          <w:lang w:val="it-IT"/>
        </w:rPr>
        <w:t>Tabela 15A: Prispevki v InvestEU* (razčlenitev po letih)</w:t>
      </w:r>
      <w:bookmarkEnd w:id="17"/>
    </w:p>
    <w:p w14:paraId="2C358BE2" w14:textId="77777777" w:rsidR="00A77B3E" w:rsidRPr="00DF1E49" w:rsidRDefault="00A77B3E">
      <w:pPr>
        <w:spacing w:before="100"/>
        <w:rPr>
          <w:color w:val="000000"/>
          <w:sz w:val="12"/>
          <w:lang w:val="it-IT"/>
        </w:rPr>
      </w:pPr>
    </w:p>
    <w:p w14:paraId="1D441959" w14:textId="77777777" w:rsidR="00A77B3E" w:rsidRPr="00DF1E49" w:rsidRDefault="00A77B3E">
      <w:pPr>
        <w:spacing w:before="100"/>
        <w:rPr>
          <w:color w:val="00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877"/>
        <w:gridCol w:w="2725"/>
        <w:gridCol w:w="1017"/>
        <w:gridCol w:w="1017"/>
        <w:gridCol w:w="1017"/>
        <w:gridCol w:w="1017"/>
        <w:gridCol w:w="1017"/>
        <w:gridCol w:w="1017"/>
        <w:gridCol w:w="1017"/>
        <w:gridCol w:w="1323"/>
      </w:tblGrid>
      <w:tr w:rsidR="00DE13D3" w14:paraId="2B93D1B3"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8D204E" w14:textId="77777777" w:rsidR="00A77B3E" w:rsidRDefault="005A111E">
            <w:pPr>
              <w:spacing w:before="100"/>
              <w:jc w:val="center"/>
              <w:rPr>
                <w:color w:val="000000"/>
                <w:sz w:val="20"/>
              </w:rPr>
            </w:pPr>
            <w:r>
              <w:rPr>
                <w:color w:val="000000"/>
                <w:sz w:val="20"/>
              </w:rPr>
              <w:t>Prispevek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1D3A49" w14:textId="77777777" w:rsidR="00A77B3E" w:rsidRDefault="005A111E">
            <w:pPr>
              <w:spacing w:before="100"/>
              <w:jc w:val="center"/>
              <w:rPr>
                <w:color w:val="000000"/>
                <w:sz w:val="20"/>
              </w:rPr>
            </w:pPr>
            <w:r>
              <w:rPr>
                <w:color w:val="000000"/>
                <w:sz w:val="20"/>
              </w:rPr>
              <w:t>Prispevanje k</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51D637" w14:textId="77777777" w:rsidR="00A77B3E" w:rsidRDefault="005A111E">
            <w:pPr>
              <w:spacing w:before="100"/>
              <w:jc w:val="center"/>
              <w:rPr>
                <w:color w:val="000000"/>
                <w:sz w:val="20"/>
              </w:rPr>
            </w:pPr>
            <w:r>
              <w:rPr>
                <w:color w:val="000000"/>
                <w:sz w:val="20"/>
              </w:rPr>
              <w:t>Razčlenitev po letih</w:t>
            </w:r>
          </w:p>
        </w:tc>
      </w:tr>
      <w:tr w:rsidR="00DE13D3" w14:paraId="5817A17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E09212" w14:textId="77777777" w:rsidR="00A77B3E" w:rsidRDefault="005A111E">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50B8C6" w14:textId="77777777" w:rsidR="00A77B3E" w:rsidRDefault="005A111E">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CD3D8E" w14:textId="77777777" w:rsidR="00A77B3E" w:rsidRDefault="005A111E">
            <w:pPr>
              <w:spacing w:before="100"/>
              <w:jc w:val="center"/>
              <w:rPr>
                <w:color w:val="000000"/>
                <w:sz w:val="20"/>
              </w:rPr>
            </w:pPr>
            <w:r>
              <w:rPr>
                <w:color w:val="000000"/>
                <w:sz w:val="20"/>
              </w:rPr>
              <w:t>Sklop InvestEU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BF17DA" w14:textId="77777777" w:rsidR="00A77B3E" w:rsidRDefault="005A111E">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02C090" w14:textId="77777777" w:rsidR="00A77B3E" w:rsidRDefault="005A111E">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A24143" w14:textId="77777777" w:rsidR="00A77B3E" w:rsidRDefault="005A111E">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AE5EDC" w14:textId="77777777" w:rsidR="00A77B3E" w:rsidRDefault="005A111E">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A0E9E" w14:textId="77777777" w:rsidR="00A77B3E" w:rsidRDefault="005A111E">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8F7E11" w14:textId="77777777" w:rsidR="00A77B3E" w:rsidRDefault="005A111E">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E434A2" w14:textId="77777777" w:rsidR="00A77B3E" w:rsidRDefault="005A111E">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C3F840" w14:textId="77777777" w:rsidR="00A77B3E" w:rsidRDefault="005A111E">
            <w:pPr>
              <w:spacing w:before="100"/>
              <w:jc w:val="center"/>
              <w:rPr>
                <w:color w:val="000000"/>
                <w:sz w:val="16"/>
              </w:rPr>
            </w:pPr>
            <w:r>
              <w:rPr>
                <w:color w:val="000000"/>
                <w:sz w:val="20"/>
              </w:rPr>
              <w:t>Skupaj</w:t>
            </w:r>
          </w:p>
        </w:tc>
      </w:tr>
    </w:tbl>
    <w:p w14:paraId="1D993F00" w14:textId="77777777" w:rsidR="00A77B3E" w:rsidRDefault="005A111E">
      <w:pPr>
        <w:spacing w:before="100"/>
        <w:rPr>
          <w:color w:val="000000"/>
          <w:sz w:val="20"/>
        </w:rPr>
      </w:pPr>
      <w:r>
        <w:rPr>
          <w:color w:val="000000"/>
          <w:sz w:val="20"/>
        </w:rPr>
        <w:t>* Pri vsakem novem zahtevku za prispevek se v spremembi programa določijo skupni zneski za vsako leto po skladih in kategorijah regij.</w:t>
      </w:r>
    </w:p>
    <w:p w14:paraId="1B129967" w14:textId="77777777" w:rsidR="00A77B3E" w:rsidRDefault="00A77B3E">
      <w:pPr>
        <w:spacing w:before="100"/>
        <w:rPr>
          <w:color w:val="000000"/>
          <w:sz w:val="20"/>
        </w:rPr>
      </w:pPr>
    </w:p>
    <w:p w14:paraId="3393B2F3" w14:textId="77777777" w:rsidR="00A77B3E" w:rsidRPr="00DF1E49" w:rsidRDefault="005A111E">
      <w:pPr>
        <w:pStyle w:val="Naslov4"/>
        <w:spacing w:before="100" w:after="0"/>
        <w:rPr>
          <w:b w:val="0"/>
          <w:color w:val="000000"/>
          <w:sz w:val="24"/>
          <w:lang w:val="it-IT"/>
        </w:rPr>
      </w:pPr>
      <w:bookmarkStart w:id="18" w:name="_Toc256000077"/>
      <w:r w:rsidRPr="00DF1E49">
        <w:rPr>
          <w:b w:val="0"/>
          <w:color w:val="000000"/>
          <w:sz w:val="24"/>
          <w:lang w:val="it-IT"/>
        </w:rPr>
        <w:t>Tabela 15B: Prispevki v InvestEU* (povzetek)</w:t>
      </w:r>
      <w:bookmarkEnd w:id="18"/>
    </w:p>
    <w:p w14:paraId="4444E666" w14:textId="77777777" w:rsidR="00A77B3E" w:rsidRPr="00DF1E49" w:rsidRDefault="00A77B3E">
      <w:pPr>
        <w:spacing w:before="100"/>
        <w:rPr>
          <w:color w:val="000000"/>
          <w:sz w:val="12"/>
          <w:lang w:val="it-IT"/>
        </w:rPr>
      </w:pPr>
    </w:p>
    <w:p w14:paraId="2247B3E5" w14:textId="77777777" w:rsidR="00A77B3E" w:rsidRPr="00DF1E49" w:rsidRDefault="00A77B3E">
      <w:pPr>
        <w:spacing w:before="100"/>
        <w:rPr>
          <w:color w:val="00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681"/>
        <w:gridCol w:w="2728"/>
        <w:gridCol w:w="2785"/>
        <w:gridCol w:w="907"/>
        <w:gridCol w:w="3199"/>
        <w:gridCol w:w="3099"/>
      </w:tblGrid>
      <w:tr w:rsidR="00DE13D3" w:rsidRPr="00DF1E49" w14:paraId="0386043B"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CD0DB1" w14:textId="77777777" w:rsidR="00A77B3E" w:rsidRDefault="005A111E">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930D4D" w14:textId="77777777" w:rsidR="00A77B3E" w:rsidRDefault="005A111E">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722030" w14:textId="77777777" w:rsidR="00A77B3E" w:rsidRDefault="005A111E">
            <w:pPr>
              <w:spacing w:before="100"/>
              <w:jc w:val="center"/>
              <w:rPr>
                <w:color w:val="000000"/>
                <w:sz w:val="20"/>
              </w:rPr>
            </w:pPr>
            <w:r>
              <w:rPr>
                <w:color w:val="000000"/>
                <w:sz w:val="20"/>
              </w:rPr>
              <w:t>Trajnostna infrastruktura (a)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49836B" w14:textId="77777777" w:rsidR="00A77B3E" w:rsidRDefault="005A111E">
            <w:pPr>
              <w:spacing w:before="100"/>
              <w:jc w:val="center"/>
              <w:rPr>
                <w:color w:val="000000"/>
                <w:sz w:val="20"/>
              </w:rPr>
            </w:pPr>
            <w:r>
              <w:rPr>
                <w:color w:val="000000"/>
                <w:sz w:val="20"/>
              </w:rPr>
              <w:t>Inovacije in digitalizacija (b)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435943" w14:textId="77777777" w:rsidR="00A77B3E" w:rsidRDefault="005A111E">
            <w:pPr>
              <w:spacing w:before="100"/>
              <w:jc w:val="center"/>
              <w:rPr>
                <w:color w:val="000000"/>
                <w:sz w:val="20"/>
              </w:rPr>
            </w:pPr>
            <w:r>
              <w:rPr>
                <w:color w:val="000000"/>
                <w:sz w:val="20"/>
              </w:rPr>
              <w:t>MSP (c)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C464C9" w14:textId="77777777" w:rsidR="00A77B3E" w:rsidRPr="00DF1E49" w:rsidRDefault="005A111E">
            <w:pPr>
              <w:spacing w:before="100"/>
              <w:jc w:val="center"/>
              <w:rPr>
                <w:color w:val="000000"/>
                <w:sz w:val="20"/>
                <w:lang w:val="it-IT"/>
              </w:rPr>
            </w:pPr>
            <w:r w:rsidRPr="00DF1E49">
              <w:rPr>
                <w:color w:val="000000"/>
                <w:sz w:val="20"/>
                <w:lang w:val="it-IT"/>
              </w:rPr>
              <w:t>Socialne naložbe in spretnosti (d)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5B6031" w14:textId="77777777" w:rsidR="00A77B3E" w:rsidRPr="00DF1E49" w:rsidRDefault="005A111E">
            <w:pPr>
              <w:spacing w:before="100"/>
              <w:jc w:val="center"/>
              <w:rPr>
                <w:color w:val="000000"/>
                <w:sz w:val="20"/>
                <w:lang w:val="it-IT"/>
              </w:rPr>
            </w:pPr>
            <w:r w:rsidRPr="00DF1E49">
              <w:rPr>
                <w:color w:val="000000"/>
                <w:sz w:val="20"/>
                <w:lang w:val="it-IT"/>
              </w:rPr>
              <w:t>Skupaj (e) = (a) + (b) + (c) + (d)</w:t>
            </w:r>
          </w:p>
        </w:tc>
      </w:tr>
      <w:tr w:rsidR="00DE13D3" w14:paraId="394D8E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5D0966" w14:textId="77777777" w:rsidR="00A77B3E" w:rsidRDefault="005A111E">
            <w:pPr>
              <w:spacing w:before="100"/>
              <w:jc w:val="center"/>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E703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39F8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B1A8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65F19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1A59D"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B52A0" w14:textId="77777777" w:rsidR="00A77B3E" w:rsidRDefault="00A77B3E">
            <w:pPr>
              <w:spacing w:before="100"/>
              <w:jc w:val="right"/>
              <w:rPr>
                <w:color w:val="000000"/>
                <w:sz w:val="20"/>
              </w:rPr>
            </w:pPr>
          </w:p>
        </w:tc>
      </w:tr>
    </w:tbl>
    <w:p w14:paraId="6F6A58A7" w14:textId="77777777" w:rsidR="00A77B3E" w:rsidRDefault="005A111E">
      <w:pPr>
        <w:spacing w:before="100"/>
        <w:rPr>
          <w:color w:val="000000"/>
          <w:sz w:val="20"/>
        </w:rPr>
      </w:pPr>
      <w:r>
        <w:rPr>
          <w:color w:val="000000"/>
          <w:sz w:val="20"/>
        </w:rPr>
        <w:t>* Kumulativni zneski za vse prispevke, izvedene s spremembami programa v programskem obdobju. Pri vsakem novem zahtevku za prispevek se v spremembi programa določijo skupni zneski za vsako leto po skladih in kategorijah regij.</w:t>
      </w:r>
    </w:p>
    <w:p w14:paraId="5DD7F700" w14:textId="77777777" w:rsidR="00A77B3E" w:rsidRDefault="00A77B3E">
      <w:pPr>
        <w:spacing w:before="100"/>
        <w:rPr>
          <w:color w:val="000000"/>
          <w:sz w:val="20"/>
        </w:rPr>
      </w:pPr>
    </w:p>
    <w:p w14:paraId="412BB06A" w14:textId="77777777" w:rsidR="00A77B3E" w:rsidRDefault="005A111E">
      <w:pPr>
        <w:pStyle w:val="Naslov4"/>
        <w:spacing w:before="100" w:after="0"/>
        <w:rPr>
          <w:b w:val="0"/>
          <w:color w:val="000000"/>
          <w:sz w:val="24"/>
        </w:rPr>
      </w:pPr>
      <w:bookmarkStart w:id="19" w:name="_Toc256000078"/>
      <w:r>
        <w:rPr>
          <w:b w:val="0"/>
          <w:color w:val="000000"/>
          <w:sz w:val="24"/>
        </w:rPr>
        <w:lastRenderedPageBreak/>
        <w:t>Utemeljitev, ob upoštevanju, kako navedeni zneski prispevajo k doseganju ciljev politike, izbranih v programu v skladu s členom 10(1) uredbe o InvestEU</w:t>
      </w:r>
      <w:bookmarkEnd w:id="19"/>
    </w:p>
    <w:p w14:paraId="441B9E2F" w14:textId="77777777" w:rsidR="00A77B3E" w:rsidRDefault="00A77B3E">
      <w:pPr>
        <w:spacing w:before="100"/>
        <w:rPr>
          <w:color w:val="000000"/>
          <w:sz w:val="12"/>
        </w:rPr>
      </w:pPr>
    </w:p>
    <w:p w14:paraId="72905C72"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DE13D3" w14:paraId="0824D19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7666B" w14:textId="77777777" w:rsidR="00A77B3E" w:rsidRDefault="00A77B3E">
            <w:pPr>
              <w:spacing w:before="100"/>
              <w:rPr>
                <w:color w:val="000000"/>
                <w:sz w:val="0"/>
              </w:rPr>
            </w:pPr>
          </w:p>
          <w:p w14:paraId="1360EB05" w14:textId="77777777" w:rsidR="00A77B3E" w:rsidRDefault="00A77B3E">
            <w:pPr>
              <w:spacing w:before="100"/>
              <w:rPr>
                <w:color w:val="000000"/>
              </w:rPr>
            </w:pPr>
          </w:p>
        </w:tc>
      </w:tr>
    </w:tbl>
    <w:p w14:paraId="078A7A16" w14:textId="77777777" w:rsidR="00A77B3E" w:rsidRDefault="00A77B3E">
      <w:pPr>
        <w:spacing w:before="100"/>
        <w:rPr>
          <w:color w:val="000000"/>
        </w:rPr>
      </w:pPr>
    </w:p>
    <w:p w14:paraId="667A4FBE" w14:textId="77777777" w:rsidR="00A77B3E" w:rsidRDefault="00A77B3E">
      <w:pPr>
        <w:spacing w:before="100"/>
        <w:rPr>
          <w:color w:val="000000"/>
          <w:sz w:val="0"/>
        </w:rPr>
      </w:pPr>
    </w:p>
    <w:p w14:paraId="7D521D3D" w14:textId="77777777" w:rsidR="00A77B3E" w:rsidRPr="00DF1E49" w:rsidRDefault="005A111E">
      <w:pPr>
        <w:pStyle w:val="Naslov4"/>
        <w:spacing w:before="100" w:after="0"/>
        <w:rPr>
          <w:b w:val="0"/>
          <w:color w:val="000000"/>
          <w:sz w:val="24"/>
          <w:lang w:val="it-IT"/>
        </w:rPr>
      </w:pPr>
      <w:bookmarkStart w:id="20" w:name="_Toc256000079"/>
      <w:r w:rsidRPr="00DF1E49">
        <w:rPr>
          <w:b w:val="0"/>
          <w:color w:val="000000"/>
          <w:sz w:val="24"/>
          <w:lang w:val="it-IT"/>
        </w:rPr>
        <w:t>Tabela 16A: Prerazporeditve v instrumente v okviru neposrednega ali posrednega upravljanja (razčlenitev po letih)</w:t>
      </w:r>
      <w:bookmarkEnd w:id="20"/>
    </w:p>
    <w:p w14:paraId="5238989B" w14:textId="77777777" w:rsidR="00A77B3E" w:rsidRPr="00DF1E49" w:rsidRDefault="00A77B3E">
      <w:pPr>
        <w:spacing w:before="100"/>
        <w:rPr>
          <w:color w:val="000000"/>
          <w:sz w:val="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824"/>
        <w:gridCol w:w="2952"/>
        <w:gridCol w:w="999"/>
        <w:gridCol w:w="999"/>
        <w:gridCol w:w="999"/>
        <w:gridCol w:w="999"/>
        <w:gridCol w:w="999"/>
        <w:gridCol w:w="999"/>
        <w:gridCol w:w="999"/>
        <w:gridCol w:w="1298"/>
      </w:tblGrid>
      <w:tr w:rsidR="00DE13D3" w14:paraId="7B09D9D0"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435E6E" w14:textId="77777777" w:rsidR="00A77B3E" w:rsidRDefault="005A111E">
            <w:pPr>
              <w:spacing w:before="100"/>
              <w:jc w:val="center"/>
              <w:rPr>
                <w:color w:val="000000"/>
                <w:sz w:val="20"/>
              </w:rPr>
            </w:pPr>
            <w:r>
              <w:rPr>
                <w:color w:val="000000"/>
                <w:sz w:val="20"/>
              </w:rPr>
              <w:t>Prerazporeditve iz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8A7FED" w14:textId="77777777" w:rsidR="00A77B3E" w:rsidRDefault="005A111E">
            <w:pPr>
              <w:spacing w:before="100"/>
              <w:jc w:val="center"/>
              <w:rPr>
                <w:color w:val="000000"/>
                <w:sz w:val="20"/>
              </w:rPr>
            </w:pPr>
            <w:r>
              <w:rPr>
                <w:color w:val="000000"/>
                <w:sz w:val="20"/>
              </w:rPr>
              <w:t>Prerazporeditve v</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5A5208" w14:textId="77777777" w:rsidR="00A77B3E" w:rsidRDefault="005A111E">
            <w:pPr>
              <w:spacing w:before="100"/>
              <w:jc w:val="center"/>
              <w:rPr>
                <w:color w:val="000000"/>
                <w:sz w:val="20"/>
              </w:rPr>
            </w:pPr>
            <w:r>
              <w:rPr>
                <w:color w:val="000000"/>
                <w:sz w:val="20"/>
              </w:rPr>
              <w:t>Razčlenitev po letih</w:t>
            </w:r>
          </w:p>
        </w:tc>
      </w:tr>
      <w:tr w:rsidR="00DE13D3" w14:paraId="036592A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F609C2" w14:textId="77777777" w:rsidR="00A77B3E" w:rsidRDefault="005A111E">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E1216E" w14:textId="77777777" w:rsidR="00A77B3E" w:rsidRDefault="005A111E">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CC5D83" w14:textId="77777777" w:rsidR="00A77B3E" w:rsidRDefault="005A111E">
            <w:pPr>
              <w:spacing w:before="100"/>
              <w:jc w:val="center"/>
              <w:rPr>
                <w:color w:val="000000"/>
                <w:sz w:val="20"/>
              </w:rPr>
            </w:pPr>
            <w:r>
              <w:rPr>
                <w:color w:val="000000"/>
                <w:sz w:val="2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2C61A7" w14:textId="77777777" w:rsidR="00A77B3E" w:rsidRDefault="005A111E">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AB0F33" w14:textId="77777777" w:rsidR="00A77B3E" w:rsidRDefault="005A111E">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72CE9A" w14:textId="77777777" w:rsidR="00A77B3E" w:rsidRDefault="005A111E">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6CB0D4" w14:textId="77777777" w:rsidR="00A77B3E" w:rsidRDefault="005A111E">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C88869" w14:textId="77777777" w:rsidR="00A77B3E" w:rsidRDefault="005A111E">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26045A" w14:textId="77777777" w:rsidR="00A77B3E" w:rsidRDefault="005A111E">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81D33B" w14:textId="77777777" w:rsidR="00A77B3E" w:rsidRDefault="005A111E">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912C83" w14:textId="77777777" w:rsidR="00A77B3E" w:rsidRDefault="005A111E">
            <w:pPr>
              <w:spacing w:before="100"/>
              <w:jc w:val="center"/>
              <w:rPr>
                <w:color w:val="000000"/>
                <w:sz w:val="16"/>
              </w:rPr>
            </w:pPr>
            <w:r>
              <w:rPr>
                <w:color w:val="000000"/>
                <w:sz w:val="20"/>
              </w:rPr>
              <w:t>Skupaj</w:t>
            </w:r>
          </w:p>
        </w:tc>
      </w:tr>
    </w:tbl>
    <w:p w14:paraId="6AB6F9AF" w14:textId="77777777" w:rsidR="00A77B3E" w:rsidRDefault="00A77B3E">
      <w:pPr>
        <w:spacing w:before="100"/>
        <w:rPr>
          <w:color w:val="000000"/>
          <w:sz w:val="20"/>
        </w:rPr>
      </w:pPr>
    </w:p>
    <w:p w14:paraId="0895AE8E" w14:textId="77777777" w:rsidR="00A77B3E" w:rsidRDefault="00A77B3E">
      <w:pPr>
        <w:spacing w:before="100"/>
        <w:rPr>
          <w:color w:val="000000"/>
          <w:sz w:val="0"/>
        </w:rPr>
      </w:pPr>
    </w:p>
    <w:p w14:paraId="71563A5A" w14:textId="77777777" w:rsidR="00A77B3E" w:rsidRPr="00DF1E49" w:rsidRDefault="005A111E">
      <w:pPr>
        <w:pStyle w:val="Naslov4"/>
        <w:spacing w:before="100" w:after="0"/>
        <w:rPr>
          <w:b w:val="0"/>
          <w:color w:val="000000"/>
          <w:sz w:val="24"/>
          <w:lang w:val="it-IT"/>
        </w:rPr>
      </w:pPr>
      <w:bookmarkStart w:id="21" w:name="_Toc256000080"/>
      <w:r w:rsidRPr="00DF1E49">
        <w:rPr>
          <w:b w:val="0"/>
          <w:color w:val="000000"/>
          <w:sz w:val="24"/>
          <w:lang w:val="it-IT"/>
        </w:rPr>
        <w:t>Tabela 16B: Prerazporeditve v instrumente v okviru neposrednega ali posrednega upravljanja* (povzetek)</w:t>
      </w:r>
      <w:bookmarkEnd w:id="21"/>
    </w:p>
    <w:p w14:paraId="14097473" w14:textId="77777777" w:rsidR="00A77B3E" w:rsidRPr="00DF1E49" w:rsidRDefault="00A77B3E">
      <w:pPr>
        <w:spacing w:before="100"/>
        <w:rPr>
          <w:color w:val="000000"/>
          <w:sz w:val="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7903"/>
        <w:gridCol w:w="3634"/>
      </w:tblGrid>
      <w:tr w:rsidR="00DE13D3" w14:paraId="173029A0"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C52D07" w14:textId="77777777" w:rsidR="00A77B3E" w:rsidRDefault="005A111E">
            <w:pPr>
              <w:spacing w:before="100"/>
              <w:jc w:val="center"/>
              <w:rPr>
                <w:color w:val="000000"/>
                <w:sz w:val="20"/>
              </w:rPr>
            </w:pPr>
            <w:r>
              <w:rPr>
                <w:color w:val="000000"/>
                <w:sz w:val="20"/>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5D49CC" w14:textId="77777777" w:rsidR="00A77B3E" w:rsidRDefault="005A111E">
            <w:pPr>
              <w:spacing w:before="100"/>
              <w:jc w:val="center"/>
              <w:rPr>
                <w:color w:val="000000"/>
                <w:sz w:val="20"/>
              </w:rPr>
            </w:pPr>
            <w:r>
              <w:rPr>
                <w:color w:val="000000"/>
                <w:sz w:val="20"/>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E4F24D" w14:textId="77777777" w:rsidR="00A77B3E" w:rsidRDefault="005A111E">
            <w:pPr>
              <w:spacing w:before="100"/>
              <w:jc w:val="center"/>
              <w:rPr>
                <w:color w:val="000000"/>
                <w:sz w:val="20"/>
              </w:rPr>
            </w:pPr>
            <w:r>
              <w:rPr>
                <w:color w:val="000000"/>
                <w:sz w:val="20"/>
              </w:rPr>
              <w:t>Skupaj</w:t>
            </w:r>
          </w:p>
        </w:tc>
      </w:tr>
      <w:tr w:rsidR="00DE13D3" w14:paraId="1E9C2E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B994B3" w14:textId="77777777" w:rsidR="00A77B3E" w:rsidRDefault="005A111E">
            <w:pPr>
              <w:spacing w:before="100"/>
              <w:jc w:val="center"/>
              <w:rPr>
                <w:color w:val="000000"/>
                <w:sz w:val="20"/>
              </w:rPr>
            </w:pPr>
            <w:r>
              <w:rPr>
                <w:color w:val="000000"/>
                <w:sz w:val="20"/>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8A6BF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5DEEBA" w14:textId="77777777" w:rsidR="00A77B3E" w:rsidRDefault="00A77B3E">
            <w:pPr>
              <w:spacing w:before="100"/>
              <w:jc w:val="right"/>
              <w:rPr>
                <w:color w:val="000000"/>
                <w:sz w:val="20"/>
              </w:rPr>
            </w:pPr>
          </w:p>
        </w:tc>
      </w:tr>
    </w:tbl>
    <w:p w14:paraId="68A882C1" w14:textId="77777777" w:rsidR="00A77B3E" w:rsidRDefault="005A111E">
      <w:pPr>
        <w:spacing w:before="100"/>
        <w:rPr>
          <w:color w:val="000000"/>
          <w:sz w:val="20"/>
        </w:rPr>
      </w:pPr>
      <w:r>
        <w:rPr>
          <w:color w:val="000000"/>
          <w:sz w:val="20"/>
        </w:rPr>
        <w:t>* Kumulativni zneski za vse prerazporeditve, izvedene s spremembami programa v programskem obdobju Pri vsakem novem zahtevku za prerazporeditev se v spremembi programa določijo skupni prerazporejeni zneski za vsako leto po skladih in kategorijah regij.</w:t>
      </w:r>
    </w:p>
    <w:p w14:paraId="23AD16F5" w14:textId="77777777" w:rsidR="00A77B3E" w:rsidRDefault="00A77B3E">
      <w:pPr>
        <w:spacing w:before="100"/>
        <w:rPr>
          <w:color w:val="000000"/>
          <w:sz w:val="20"/>
        </w:rPr>
      </w:pPr>
    </w:p>
    <w:p w14:paraId="42567D9C" w14:textId="77777777" w:rsidR="00A77B3E" w:rsidRDefault="005A111E">
      <w:pPr>
        <w:pStyle w:val="Naslov4"/>
        <w:spacing w:before="100" w:after="0"/>
        <w:rPr>
          <w:b w:val="0"/>
          <w:color w:val="000000"/>
          <w:sz w:val="24"/>
        </w:rPr>
      </w:pPr>
      <w:bookmarkStart w:id="22" w:name="_Toc256000081"/>
      <w:r>
        <w:rPr>
          <w:b w:val="0"/>
          <w:color w:val="000000"/>
          <w:sz w:val="24"/>
        </w:rPr>
        <w:t>Prerazporeditve v instrumente v okviru neposrednega ali posrednega upravljanja – utemeljitev</w:t>
      </w:r>
      <w:bookmarkEnd w:id="22"/>
    </w:p>
    <w:p w14:paraId="0B1DA3E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DE13D3" w14:paraId="2EF6562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25099E" w14:textId="77777777" w:rsidR="00A77B3E" w:rsidRDefault="00A77B3E">
            <w:pPr>
              <w:spacing w:before="100"/>
              <w:rPr>
                <w:color w:val="000000"/>
                <w:sz w:val="0"/>
              </w:rPr>
            </w:pPr>
          </w:p>
          <w:p w14:paraId="26EEB72F" w14:textId="77777777" w:rsidR="00A77B3E" w:rsidRDefault="00A77B3E">
            <w:pPr>
              <w:spacing w:before="100"/>
              <w:rPr>
                <w:color w:val="000000"/>
              </w:rPr>
            </w:pPr>
          </w:p>
        </w:tc>
      </w:tr>
    </w:tbl>
    <w:p w14:paraId="3B54B67E" w14:textId="77777777" w:rsidR="00A77B3E" w:rsidRDefault="00A77B3E">
      <w:pPr>
        <w:spacing w:before="100"/>
        <w:rPr>
          <w:color w:val="000000"/>
        </w:rPr>
      </w:pPr>
    </w:p>
    <w:p w14:paraId="3BE9D7D1" w14:textId="77777777" w:rsidR="00A77B3E" w:rsidRDefault="00A77B3E">
      <w:pPr>
        <w:spacing w:before="100"/>
        <w:rPr>
          <w:color w:val="000000"/>
        </w:rPr>
      </w:pPr>
    </w:p>
    <w:p w14:paraId="150930D0" w14:textId="77777777" w:rsidR="00A77B3E" w:rsidRDefault="005A111E">
      <w:pPr>
        <w:pStyle w:val="Naslov4"/>
        <w:spacing w:before="100" w:after="0"/>
        <w:rPr>
          <w:b w:val="0"/>
          <w:color w:val="000000"/>
          <w:sz w:val="24"/>
        </w:rPr>
      </w:pPr>
      <w:bookmarkStart w:id="23" w:name="_Toc256000082"/>
      <w:r>
        <w:rPr>
          <w:b w:val="0"/>
          <w:color w:val="000000"/>
          <w:sz w:val="24"/>
        </w:rPr>
        <w:t>Tabela 17A: Prerazporeditve med skladi ESRR, ESS+ in Kohezijskim skladom ali v drugi sklad ali sklade (razčlenitev po letih)</w:t>
      </w:r>
      <w:bookmarkEnd w:id="23"/>
    </w:p>
    <w:p w14:paraId="1CA264C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594"/>
        <w:gridCol w:w="1049"/>
        <w:gridCol w:w="2595"/>
        <w:gridCol w:w="952"/>
        <w:gridCol w:w="952"/>
        <w:gridCol w:w="952"/>
        <w:gridCol w:w="952"/>
        <w:gridCol w:w="952"/>
        <w:gridCol w:w="952"/>
        <w:gridCol w:w="952"/>
        <w:gridCol w:w="1222"/>
      </w:tblGrid>
      <w:tr w:rsidR="00DE13D3" w14:paraId="2717D4DF"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009ECD" w14:textId="77777777" w:rsidR="00A77B3E" w:rsidRDefault="005A111E">
            <w:pPr>
              <w:spacing w:before="100"/>
              <w:jc w:val="center"/>
              <w:rPr>
                <w:color w:val="000000"/>
                <w:sz w:val="16"/>
              </w:rPr>
            </w:pPr>
            <w:r>
              <w:rPr>
                <w:color w:val="000000"/>
                <w:sz w:val="16"/>
              </w:rPr>
              <w:t>Prerazporeditve iz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D8F205" w14:textId="77777777" w:rsidR="00A77B3E" w:rsidRDefault="005A111E">
            <w:pPr>
              <w:spacing w:before="100"/>
              <w:jc w:val="center"/>
              <w:rPr>
                <w:color w:val="000000"/>
                <w:sz w:val="16"/>
              </w:rPr>
            </w:pPr>
            <w:r>
              <w:rPr>
                <w:color w:val="000000"/>
                <w:sz w:val="16"/>
              </w:rPr>
              <w:t>Prerazporeditve v</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C9719A" w14:textId="77777777" w:rsidR="00A77B3E" w:rsidRDefault="005A111E">
            <w:pPr>
              <w:spacing w:before="100"/>
              <w:jc w:val="center"/>
              <w:rPr>
                <w:color w:val="000000"/>
                <w:sz w:val="16"/>
              </w:rPr>
            </w:pPr>
            <w:r>
              <w:rPr>
                <w:color w:val="000000"/>
                <w:sz w:val="16"/>
              </w:rPr>
              <w:t>Razčlenitev po letih</w:t>
            </w:r>
          </w:p>
        </w:tc>
      </w:tr>
      <w:tr w:rsidR="00DE13D3" w14:paraId="4A1D96A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4E4421" w14:textId="77777777" w:rsidR="00A77B3E" w:rsidRDefault="005A111E">
            <w:pPr>
              <w:spacing w:before="100"/>
              <w:jc w:val="center"/>
              <w:rPr>
                <w:color w:val="000000"/>
                <w:sz w:val="16"/>
              </w:rPr>
            </w:pPr>
            <w:r>
              <w:rPr>
                <w:color w:val="000000"/>
                <w:sz w:val="16"/>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988D04" w14:textId="77777777" w:rsidR="00A77B3E" w:rsidRDefault="005A111E">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66A2EC" w14:textId="77777777" w:rsidR="00A77B3E" w:rsidRDefault="005A111E">
            <w:pPr>
              <w:spacing w:before="100"/>
              <w:jc w:val="center"/>
              <w:rPr>
                <w:color w:val="000000"/>
                <w:sz w:val="16"/>
              </w:rPr>
            </w:pPr>
            <w:r>
              <w:rPr>
                <w:color w:val="000000"/>
                <w:sz w:val="16"/>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853B16" w14:textId="77777777" w:rsidR="00A77B3E" w:rsidRDefault="005A111E">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387E82" w14:textId="77777777" w:rsidR="00A77B3E" w:rsidRDefault="005A111E">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59E797" w14:textId="77777777" w:rsidR="00A77B3E" w:rsidRDefault="005A111E">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1665B2" w14:textId="77777777" w:rsidR="00A77B3E" w:rsidRDefault="005A111E">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482F57" w14:textId="77777777" w:rsidR="00A77B3E" w:rsidRDefault="005A111E">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4CCFA2" w14:textId="77777777" w:rsidR="00A77B3E" w:rsidRDefault="005A111E">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C64815" w14:textId="77777777" w:rsidR="00A77B3E" w:rsidRDefault="005A111E">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7F304" w14:textId="77777777" w:rsidR="00A77B3E" w:rsidRDefault="005A111E">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C2D2CC" w14:textId="77777777" w:rsidR="00A77B3E" w:rsidRDefault="005A111E">
            <w:pPr>
              <w:spacing w:before="100"/>
              <w:jc w:val="center"/>
              <w:rPr>
                <w:color w:val="000000"/>
                <w:sz w:val="16"/>
              </w:rPr>
            </w:pPr>
            <w:r>
              <w:rPr>
                <w:color w:val="000000"/>
                <w:sz w:val="16"/>
              </w:rPr>
              <w:t>Skupaj</w:t>
            </w:r>
          </w:p>
        </w:tc>
      </w:tr>
    </w:tbl>
    <w:p w14:paraId="6C287301" w14:textId="77777777" w:rsidR="00A77B3E" w:rsidRDefault="005A111E">
      <w:pPr>
        <w:spacing w:before="100"/>
        <w:rPr>
          <w:color w:val="000000"/>
          <w:sz w:val="16"/>
        </w:rPr>
      </w:pPr>
      <w:r>
        <w:rPr>
          <w:color w:val="000000"/>
          <w:sz w:val="16"/>
        </w:rPr>
        <w:t>* Prerazporeditev v druge programe. Prerazporeditve med skladoma ESRR in ESS+ se lahko izvedejo samo znotraj iste kategorije regij.</w:t>
      </w:r>
    </w:p>
    <w:p w14:paraId="66D0E95E" w14:textId="77777777" w:rsidR="00A77B3E" w:rsidRDefault="00A77B3E">
      <w:pPr>
        <w:spacing w:before="100"/>
        <w:rPr>
          <w:color w:val="000000"/>
          <w:sz w:val="16"/>
        </w:rPr>
      </w:pPr>
    </w:p>
    <w:p w14:paraId="7795ACA9" w14:textId="77777777" w:rsidR="00A77B3E" w:rsidRDefault="005A111E">
      <w:pPr>
        <w:pStyle w:val="Naslov4"/>
        <w:spacing w:before="100" w:after="0"/>
        <w:rPr>
          <w:b w:val="0"/>
          <w:color w:val="000000"/>
          <w:sz w:val="24"/>
        </w:rPr>
      </w:pPr>
      <w:bookmarkStart w:id="24" w:name="_Toc256000083"/>
      <w:r>
        <w:rPr>
          <w:b w:val="0"/>
          <w:color w:val="000000"/>
          <w:sz w:val="24"/>
        </w:rPr>
        <w:t>Tabela 17B: Prerazporeditve med skladi ESRR, ESS+ in Kohezijskim skladom ali v drugi sklad ali sklade (povzetek)</w:t>
      </w:r>
      <w:bookmarkEnd w:id="24"/>
    </w:p>
    <w:p w14:paraId="440DD6B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82"/>
        <w:gridCol w:w="1761"/>
        <w:gridCol w:w="805"/>
        <w:gridCol w:w="1846"/>
        <w:gridCol w:w="1761"/>
        <w:gridCol w:w="805"/>
        <w:gridCol w:w="1846"/>
        <w:gridCol w:w="1647"/>
        <w:gridCol w:w="708"/>
        <w:gridCol w:w="733"/>
        <w:gridCol w:w="624"/>
        <w:gridCol w:w="769"/>
        <w:gridCol w:w="792"/>
      </w:tblGrid>
      <w:tr w:rsidR="00DE13D3" w14:paraId="57F94C20" w14:textId="77777777">
        <w:trPr>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F3061E" w14:textId="77777777" w:rsidR="00A77B3E" w:rsidRDefault="00A77B3E">
            <w:pPr>
              <w:spacing w:before="100"/>
              <w:jc w:val="center"/>
              <w:rPr>
                <w:color w:val="000000"/>
                <w:sz w:val="1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3E8C5B" w14:textId="77777777" w:rsidR="00A77B3E" w:rsidRDefault="005A111E">
            <w:pPr>
              <w:spacing w:before="100"/>
              <w:jc w:val="center"/>
              <w:rPr>
                <w:color w:val="000000"/>
                <w:sz w:val="14"/>
              </w:rPr>
            </w:pPr>
            <w:r>
              <w:rPr>
                <w:color w:val="000000"/>
                <w:sz w:val="14"/>
              </w:rPr>
              <w:t>ESRR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9B68A2" w14:textId="77777777" w:rsidR="00A77B3E" w:rsidRDefault="005A111E">
            <w:pPr>
              <w:spacing w:before="100"/>
              <w:jc w:val="center"/>
              <w:rPr>
                <w:color w:val="000000"/>
                <w:sz w:val="14"/>
              </w:rPr>
            </w:pPr>
            <w:r>
              <w:rPr>
                <w:color w:val="000000"/>
                <w:sz w:val="14"/>
              </w:rPr>
              <w:t>ESS+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09E611" w14:textId="77777777" w:rsidR="00A77B3E" w:rsidRDefault="005A111E">
            <w:pPr>
              <w:spacing w:before="100"/>
              <w:jc w:val="center"/>
              <w:rPr>
                <w:color w:val="000000"/>
                <w:sz w:val="14"/>
              </w:rPr>
            </w:pPr>
            <w:r>
              <w:rPr>
                <w:color w:val="000000"/>
                <w:sz w:val="14"/>
              </w:rPr>
              <w:t>Kohezijski sklad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CC047F" w14:textId="77777777" w:rsidR="00A77B3E" w:rsidRDefault="005A111E">
            <w:pPr>
              <w:spacing w:before="100"/>
              <w:jc w:val="center"/>
              <w:rPr>
                <w:color w:val="000000"/>
                <w:sz w:val="14"/>
              </w:rPr>
            </w:pPr>
            <w:r>
              <w:rPr>
                <w:color w:val="000000"/>
                <w:sz w:val="14"/>
              </w:rPr>
              <w:t>ESPR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D572AD" w14:textId="77777777" w:rsidR="00A77B3E" w:rsidRDefault="005A111E">
            <w:pPr>
              <w:spacing w:before="100"/>
              <w:jc w:val="center"/>
              <w:rPr>
                <w:color w:val="000000"/>
                <w:sz w:val="14"/>
              </w:rPr>
            </w:pPr>
            <w:r>
              <w:rPr>
                <w:color w:val="000000"/>
                <w:sz w:val="14"/>
              </w:rPr>
              <w:t>AMIF</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9D17F6" w14:textId="77777777" w:rsidR="00A77B3E" w:rsidRDefault="005A111E">
            <w:pPr>
              <w:spacing w:before="100"/>
              <w:jc w:val="center"/>
              <w:rPr>
                <w:color w:val="000000"/>
                <w:sz w:val="14"/>
              </w:rPr>
            </w:pPr>
            <w:r>
              <w:rPr>
                <w:color w:val="000000"/>
                <w:sz w:val="14"/>
              </w:rPr>
              <w:t>SNV</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AD0C4A" w14:textId="77777777" w:rsidR="00A77B3E" w:rsidRDefault="005A111E">
            <w:pPr>
              <w:spacing w:before="100"/>
              <w:jc w:val="center"/>
              <w:rPr>
                <w:color w:val="000000"/>
                <w:sz w:val="14"/>
              </w:rPr>
            </w:pPr>
            <w:r>
              <w:rPr>
                <w:color w:val="000000"/>
                <w:sz w:val="14"/>
              </w:rPr>
              <w:t>IUMV</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BD3724" w14:textId="77777777" w:rsidR="00A77B3E" w:rsidRDefault="005A111E">
            <w:pPr>
              <w:spacing w:before="100"/>
              <w:jc w:val="center"/>
              <w:rPr>
                <w:color w:val="000000"/>
                <w:sz w:val="14"/>
              </w:rPr>
            </w:pPr>
            <w:r>
              <w:rPr>
                <w:color w:val="000000"/>
                <w:sz w:val="14"/>
              </w:rPr>
              <w:t>Skupaj</w:t>
            </w:r>
          </w:p>
        </w:tc>
      </w:tr>
      <w:tr w:rsidR="00DE13D3" w14:paraId="0CDA2A42" w14:textId="77777777">
        <w:trPr>
          <w:tblHeader/>
        </w:trPr>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EA3E9F" w14:textId="77777777" w:rsidR="00A77B3E" w:rsidRDefault="00A77B3E">
            <w:pPr>
              <w:spacing w:before="100"/>
              <w:jc w:val="center"/>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7108D1" w14:textId="77777777" w:rsidR="00A77B3E" w:rsidRDefault="005A111E">
            <w:pPr>
              <w:spacing w:before="100"/>
              <w:jc w:val="center"/>
              <w:rPr>
                <w:color w:val="000000"/>
                <w:sz w:val="14"/>
              </w:rPr>
            </w:pPr>
            <w:r>
              <w:rPr>
                <w:color w:val="000000"/>
                <w:sz w:val="14"/>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6C1677" w14:textId="77777777" w:rsidR="00A77B3E" w:rsidRDefault="005A111E">
            <w:pPr>
              <w:spacing w:before="100"/>
              <w:jc w:val="center"/>
              <w:rPr>
                <w:color w:val="000000"/>
                <w:sz w:val="14"/>
              </w:rPr>
            </w:pPr>
            <w:r>
              <w:rPr>
                <w:color w:val="000000"/>
                <w:sz w:val="14"/>
              </w:rPr>
              <w:t>Prehod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A69338" w14:textId="77777777" w:rsidR="00A77B3E" w:rsidRDefault="005A111E">
            <w:pPr>
              <w:spacing w:before="100"/>
              <w:jc w:val="center"/>
              <w:rPr>
                <w:color w:val="000000"/>
                <w:sz w:val="14"/>
              </w:rPr>
            </w:pPr>
            <w:r>
              <w:rPr>
                <w:color w:val="000000"/>
                <w:sz w:val="14"/>
              </w:rPr>
              <w:t>Manj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6AA9D5" w14:textId="77777777" w:rsidR="00A77B3E" w:rsidRDefault="005A111E">
            <w:pPr>
              <w:spacing w:before="100"/>
              <w:jc w:val="center"/>
              <w:rPr>
                <w:color w:val="000000"/>
                <w:sz w:val="14"/>
              </w:rPr>
            </w:pPr>
            <w:r>
              <w:rPr>
                <w:color w:val="000000"/>
                <w:sz w:val="14"/>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0205BA" w14:textId="77777777" w:rsidR="00A77B3E" w:rsidRDefault="005A111E">
            <w:pPr>
              <w:spacing w:before="100"/>
              <w:jc w:val="center"/>
              <w:rPr>
                <w:color w:val="000000"/>
                <w:sz w:val="14"/>
              </w:rPr>
            </w:pPr>
            <w:r>
              <w:rPr>
                <w:color w:val="000000"/>
                <w:sz w:val="14"/>
              </w:rPr>
              <w:t>Prehod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A296FF" w14:textId="77777777" w:rsidR="00A77B3E" w:rsidRDefault="005A111E">
            <w:pPr>
              <w:spacing w:before="100"/>
              <w:jc w:val="center"/>
              <w:rPr>
                <w:color w:val="000000"/>
                <w:sz w:val="14"/>
              </w:rPr>
            </w:pPr>
            <w:r>
              <w:rPr>
                <w:color w:val="000000"/>
                <w:sz w:val="14"/>
              </w:rPr>
              <w:t>Manj razvite regije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879A2A"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321BD1"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62039C"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31339E"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5F3DE"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B9395A" w14:textId="77777777" w:rsidR="00A77B3E" w:rsidRDefault="00A77B3E">
            <w:pPr>
              <w:spacing w:before="100"/>
              <w:jc w:val="center"/>
              <w:rPr>
                <w:color w:val="000000"/>
                <w:sz w:val="14"/>
              </w:rPr>
            </w:pPr>
          </w:p>
        </w:tc>
      </w:tr>
      <w:tr w:rsidR="00DE13D3" w14:paraId="65EF64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93EF09" w14:textId="77777777" w:rsidR="00A77B3E" w:rsidRDefault="005A111E">
            <w:pPr>
              <w:spacing w:before="100"/>
              <w:jc w:val="center"/>
              <w:rPr>
                <w:color w:val="000000"/>
                <w:sz w:val="14"/>
              </w:rPr>
            </w:pPr>
            <w:r>
              <w:rPr>
                <w:color w:val="000000"/>
                <w:sz w:val="14"/>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5E391" w14:textId="77777777" w:rsidR="00A77B3E" w:rsidRDefault="00A77B3E">
            <w:pPr>
              <w:spacing w:before="100"/>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80D76"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95544"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8CCAB"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0BA73"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DB136"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41985"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3BFF0"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70BA3"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667ED"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D9E4E"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EDA72"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F2587" w14:textId="77777777" w:rsidR="00A77B3E" w:rsidRDefault="00A77B3E">
            <w:pPr>
              <w:spacing w:before="100"/>
              <w:jc w:val="right"/>
              <w:rPr>
                <w:color w:val="000000"/>
                <w:sz w:val="14"/>
              </w:rPr>
            </w:pPr>
          </w:p>
        </w:tc>
      </w:tr>
    </w:tbl>
    <w:p w14:paraId="2BFF39AE" w14:textId="77777777" w:rsidR="00A77B3E" w:rsidRDefault="005A111E">
      <w:pPr>
        <w:spacing w:before="100"/>
        <w:rPr>
          <w:color w:val="000000"/>
          <w:sz w:val="16"/>
        </w:rPr>
      </w:pPr>
      <w:r>
        <w:rPr>
          <w:color w:val="000000"/>
          <w:sz w:val="16"/>
        </w:rPr>
        <w:t>* Kumulativni zneski za vse prerazporeditve, izvedene s spremembami programa v programskem obdobju. Pri vsakem novem zahtevku za prerazporeditev se v spremembi programa določijo skupni prerazporejeni zneski za vsako leto po skladih in kategorijah regij.</w:t>
      </w:r>
    </w:p>
    <w:p w14:paraId="7954856D" w14:textId="77777777" w:rsidR="00A77B3E" w:rsidRDefault="00A77B3E">
      <w:pPr>
        <w:spacing w:before="100"/>
        <w:rPr>
          <w:color w:val="000000"/>
          <w:sz w:val="16"/>
        </w:rPr>
      </w:pPr>
    </w:p>
    <w:p w14:paraId="3A8F8FCC" w14:textId="77777777" w:rsidR="00A77B3E" w:rsidRDefault="005A111E">
      <w:pPr>
        <w:pStyle w:val="Naslov4"/>
        <w:spacing w:before="100" w:after="0"/>
        <w:rPr>
          <w:b w:val="0"/>
          <w:color w:val="000000"/>
          <w:sz w:val="24"/>
        </w:rPr>
      </w:pPr>
      <w:bookmarkStart w:id="25" w:name="_Toc256000084"/>
      <w:r>
        <w:rPr>
          <w:b w:val="0"/>
          <w:color w:val="000000"/>
          <w:sz w:val="24"/>
        </w:rPr>
        <w:t>Prerazporeditve med skladi z deljenim upravljanjem, vključno med skladi kohezijske politike – utemeljitev</w:t>
      </w:r>
      <w:bookmarkEnd w:id="25"/>
    </w:p>
    <w:p w14:paraId="308C5FD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DE13D3" w14:paraId="40F5B0C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5E066" w14:textId="77777777" w:rsidR="00A77B3E" w:rsidRDefault="00A77B3E">
            <w:pPr>
              <w:spacing w:before="100"/>
              <w:rPr>
                <w:color w:val="000000"/>
                <w:sz w:val="0"/>
              </w:rPr>
            </w:pPr>
          </w:p>
          <w:p w14:paraId="57BE775B" w14:textId="77777777" w:rsidR="00A77B3E" w:rsidRDefault="00A77B3E">
            <w:pPr>
              <w:spacing w:before="100"/>
              <w:rPr>
                <w:color w:val="000000"/>
              </w:rPr>
            </w:pPr>
          </w:p>
        </w:tc>
      </w:tr>
    </w:tbl>
    <w:p w14:paraId="2C8BB084" w14:textId="77777777" w:rsidR="00A77B3E" w:rsidRDefault="00A77B3E">
      <w:pPr>
        <w:spacing w:before="100"/>
        <w:rPr>
          <w:color w:val="000000"/>
        </w:rPr>
      </w:pPr>
    </w:p>
    <w:p w14:paraId="05FF72DA" w14:textId="77777777" w:rsidR="00A77B3E" w:rsidRDefault="00A77B3E">
      <w:pPr>
        <w:spacing w:before="100"/>
        <w:rPr>
          <w:color w:val="000000"/>
        </w:rPr>
      </w:pPr>
    </w:p>
    <w:p w14:paraId="33E5BFD5"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26" w:name="_Toc256000085"/>
      <w:r w:rsidRPr="00DF1E49">
        <w:rPr>
          <w:rFonts w:ascii="Times New Roman" w:hAnsi="Times New Roman" w:cs="Times New Roman"/>
          <w:b w:val="0"/>
          <w:i w:val="0"/>
          <w:color w:val="000000"/>
          <w:sz w:val="24"/>
          <w:lang w:val="it-IT"/>
        </w:rPr>
        <w:t>3.2. SPP: dodelitev v programu in prerazporeditve (1)</w:t>
      </w:r>
      <w:bookmarkEnd w:id="26"/>
    </w:p>
    <w:p w14:paraId="0FFD0F6C" w14:textId="77777777" w:rsidR="00A77B3E" w:rsidRPr="00DF1E49" w:rsidRDefault="00A77B3E">
      <w:pPr>
        <w:spacing w:before="100"/>
        <w:rPr>
          <w:color w:val="000000"/>
          <w:sz w:val="0"/>
          <w:lang w:val="it-IT"/>
        </w:rPr>
      </w:pPr>
    </w:p>
    <w:p w14:paraId="7A4548D2" w14:textId="77777777" w:rsidR="00A77B3E" w:rsidRPr="00DF1E49" w:rsidRDefault="00A77B3E">
      <w:pPr>
        <w:spacing w:before="100"/>
        <w:rPr>
          <w:color w:val="000000"/>
          <w:lang w:val="it-IT"/>
        </w:rPr>
      </w:pPr>
    </w:p>
    <w:p w14:paraId="4F078F08" w14:textId="77777777" w:rsidR="00A77B3E" w:rsidRPr="00DF1E49" w:rsidRDefault="00A77B3E">
      <w:pPr>
        <w:spacing w:before="100"/>
        <w:rPr>
          <w:color w:val="000000"/>
          <w:lang w:val="it-IT"/>
        </w:rPr>
      </w:pPr>
    </w:p>
    <w:p w14:paraId="700711BA"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27" w:name="_Toc256000086"/>
      <w:r w:rsidRPr="00DF1E49">
        <w:rPr>
          <w:rFonts w:ascii="Times New Roman" w:hAnsi="Times New Roman" w:cs="Times New Roman"/>
          <w:b w:val="0"/>
          <w:i w:val="0"/>
          <w:color w:val="000000"/>
          <w:sz w:val="24"/>
          <w:lang w:val="it-IT"/>
        </w:rPr>
        <w:t>3.3. Prerazporeditve med kategorijami regij na podlagi vmesnega pregleda</w:t>
      </w:r>
      <w:bookmarkEnd w:id="27"/>
    </w:p>
    <w:p w14:paraId="5A3FF505" w14:textId="77777777" w:rsidR="00A77B3E" w:rsidRPr="00DF1E49" w:rsidRDefault="00A77B3E">
      <w:pPr>
        <w:spacing w:before="100"/>
        <w:rPr>
          <w:color w:val="000000"/>
          <w:sz w:val="0"/>
          <w:lang w:val="it-IT"/>
        </w:rPr>
      </w:pPr>
    </w:p>
    <w:p w14:paraId="62A7A2BF" w14:textId="77777777" w:rsidR="00A77B3E" w:rsidRPr="00DF1E49" w:rsidRDefault="005A111E">
      <w:pPr>
        <w:pStyle w:val="Naslov4"/>
        <w:spacing w:before="100" w:after="0"/>
        <w:rPr>
          <w:b w:val="0"/>
          <w:color w:val="000000"/>
          <w:sz w:val="24"/>
          <w:lang w:val="it-IT"/>
        </w:rPr>
      </w:pPr>
      <w:bookmarkStart w:id="28" w:name="_Toc256000087"/>
      <w:r w:rsidRPr="00DF1E49">
        <w:rPr>
          <w:b w:val="0"/>
          <w:color w:val="000000"/>
          <w:sz w:val="24"/>
          <w:lang w:val="it-IT"/>
        </w:rPr>
        <w:t>Tabela 19A: Prerazporeditve med kategorijami regij na podlagi vmesnega pregleda v okviru programa (razčlenitev po letih)</w:t>
      </w:r>
      <w:bookmarkEnd w:id="28"/>
    </w:p>
    <w:p w14:paraId="541B62BC" w14:textId="77777777" w:rsidR="00A77B3E" w:rsidRPr="00DF1E49" w:rsidRDefault="00A77B3E">
      <w:pPr>
        <w:spacing w:before="100"/>
        <w:rPr>
          <w:color w:val="000000"/>
          <w:sz w:val="12"/>
          <w:lang w:val="it-IT"/>
        </w:rPr>
      </w:pPr>
    </w:p>
    <w:p w14:paraId="39A7AEF9" w14:textId="77777777" w:rsidR="00A77B3E" w:rsidRPr="00DF1E49" w:rsidRDefault="00A77B3E">
      <w:pPr>
        <w:spacing w:before="100"/>
        <w:rPr>
          <w:color w:val="00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0"/>
        <w:gridCol w:w="1499"/>
        <w:gridCol w:w="1499"/>
        <w:gridCol w:w="1499"/>
        <w:gridCol w:w="1925"/>
      </w:tblGrid>
      <w:tr w:rsidR="00DE13D3" w14:paraId="21E59335"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056C7" w14:textId="77777777" w:rsidR="00A77B3E" w:rsidRDefault="005A111E">
            <w:pPr>
              <w:spacing w:before="100"/>
              <w:jc w:val="center"/>
              <w:rPr>
                <w:color w:val="000000"/>
                <w:sz w:val="16"/>
              </w:rPr>
            </w:pPr>
            <w:r>
              <w:rPr>
                <w:color w:val="000000"/>
                <w:sz w:val="16"/>
              </w:rPr>
              <w:t>Prerazporeditve iz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E05B4" w14:textId="77777777" w:rsidR="00A77B3E" w:rsidRDefault="005A111E">
            <w:pPr>
              <w:spacing w:before="100"/>
              <w:jc w:val="center"/>
              <w:rPr>
                <w:color w:val="000000"/>
                <w:sz w:val="16"/>
              </w:rPr>
            </w:pPr>
            <w:r>
              <w:rPr>
                <w:color w:val="000000"/>
                <w:sz w:val="16"/>
              </w:rPr>
              <w:t>Prerazporeditve v</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DBC82" w14:textId="77777777" w:rsidR="00A77B3E" w:rsidRDefault="005A111E">
            <w:pPr>
              <w:spacing w:before="100"/>
              <w:jc w:val="center"/>
              <w:rPr>
                <w:color w:val="000000"/>
                <w:sz w:val="16"/>
              </w:rPr>
            </w:pPr>
            <w:r>
              <w:rPr>
                <w:color w:val="000000"/>
                <w:sz w:val="16"/>
              </w:rPr>
              <w:t>Razčlenitev po letih</w:t>
            </w:r>
          </w:p>
        </w:tc>
      </w:tr>
      <w:tr w:rsidR="00DE13D3" w14:paraId="01A6AC0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D12C5" w14:textId="77777777" w:rsidR="00A77B3E" w:rsidRDefault="005A111E">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60A73" w14:textId="77777777" w:rsidR="00A77B3E" w:rsidRDefault="005A111E">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BB36C" w14:textId="77777777" w:rsidR="00A77B3E" w:rsidRDefault="005A111E">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F0150" w14:textId="77777777" w:rsidR="00A77B3E" w:rsidRDefault="005A111E">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2340D" w14:textId="77777777" w:rsidR="00A77B3E" w:rsidRDefault="005A111E">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3B655" w14:textId="77777777" w:rsidR="00A77B3E" w:rsidRDefault="005A111E">
            <w:pPr>
              <w:spacing w:before="100"/>
              <w:jc w:val="center"/>
              <w:rPr>
                <w:color w:val="000000"/>
                <w:sz w:val="16"/>
              </w:rPr>
            </w:pPr>
            <w:r>
              <w:rPr>
                <w:color w:val="000000"/>
                <w:sz w:val="16"/>
              </w:rPr>
              <w:t>Skupaj</w:t>
            </w:r>
          </w:p>
        </w:tc>
      </w:tr>
    </w:tbl>
    <w:p w14:paraId="72225784" w14:textId="77777777" w:rsidR="00A77B3E" w:rsidRPr="00DF1E49" w:rsidRDefault="005A111E">
      <w:pPr>
        <w:spacing w:before="100"/>
        <w:rPr>
          <w:color w:val="000000"/>
          <w:sz w:val="16"/>
          <w:lang w:val="it-IT"/>
        </w:rPr>
      </w:pPr>
      <w:r w:rsidRPr="00DF1E49">
        <w:rPr>
          <w:color w:val="000000"/>
          <w:sz w:val="16"/>
          <w:lang w:val="it-IT"/>
        </w:rPr>
        <w:t>* Uporablja se samo za ESRR in ESS+.</w:t>
      </w:r>
    </w:p>
    <w:p w14:paraId="2A844E07" w14:textId="77777777" w:rsidR="00A77B3E" w:rsidRPr="00DF1E49" w:rsidRDefault="00A77B3E">
      <w:pPr>
        <w:spacing w:before="100"/>
        <w:rPr>
          <w:color w:val="000000"/>
          <w:sz w:val="16"/>
          <w:lang w:val="it-IT"/>
        </w:rPr>
      </w:pPr>
    </w:p>
    <w:p w14:paraId="30B2374A" w14:textId="77777777" w:rsidR="00A77B3E" w:rsidRPr="00DF1E49" w:rsidRDefault="005A111E">
      <w:pPr>
        <w:pStyle w:val="Naslov4"/>
        <w:spacing w:before="100" w:after="0"/>
        <w:rPr>
          <w:b w:val="0"/>
          <w:color w:val="000000"/>
          <w:sz w:val="24"/>
          <w:lang w:val="it-IT"/>
        </w:rPr>
      </w:pPr>
      <w:bookmarkStart w:id="29" w:name="_Toc256000088"/>
      <w:r w:rsidRPr="00DF1E49">
        <w:rPr>
          <w:b w:val="0"/>
          <w:color w:val="000000"/>
          <w:sz w:val="24"/>
          <w:lang w:val="it-IT"/>
        </w:rPr>
        <w:t>Tabela 19B: Prerazporeditve med kategorijami regij na podlagi vmesnega pregleda v druge programe (razčlenitev po letih)</w:t>
      </w:r>
      <w:bookmarkEnd w:id="29"/>
    </w:p>
    <w:p w14:paraId="3FFFD611" w14:textId="77777777" w:rsidR="00A77B3E" w:rsidRPr="00DF1E49" w:rsidRDefault="00A77B3E">
      <w:pPr>
        <w:spacing w:before="100"/>
        <w:rPr>
          <w:color w:val="000000"/>
          <w:sz w:val="12"/>
          <w:lang w:val="it-IT"/>
        </w:rPr>
      </w:pPr>
    </w:p>
    <w:p w14:paraId="54C42F41" w14:textId="77777777" w:rsidR="00A77B3E" w:rsidRPr="00DF1E49" w:rsidRDefault="00A77B3E">
      <w:pPr>
        <w:spacing w:before="100"/>
        <w:rPr>
          <w:color w:val="00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0"/>
        <w:gridCol w:w="1499"/>
        <w:gridCol w:w="1499"/>
        <w:gridCol w:w="1499"/>
        <w:gridCol w:w="1925"/>
      </w:tblGrid>
      <w:tr w:rsidR="00DE13D3" w14:paraId="03B1835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5ABBB" w14:textId="77777777" w:rsidR="00A77B3E" w:rsidRDefault="005A111E">
            <w:pPr>
              <w:spacing w:before="100"/>
              <w:jc w:val="center"/>
              <w:rPr>
                <w:color w:val="000000"/>
                <w:sz w:val="16"/>
              </w:rPr>
            </w:pPr>
            <w:r>
              <w:rPr>
                <w:color w:val="000000"/>
                <w:sz w:val="16"/>
              </w:rPr>
              <w:t>Prerazporeditve iz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9D39D" w14:textId="77777777" w:rsidR="00A77B3E" w:rsidRDefault="005A111E">
            <w:pPr>
              <w:spacing w:before="100"/>
              <w:jc w:val="center"/>
              <w:rPr>
                <w:color w:val="000000"/>
                <w:sz w:val="16"/>
              </w:rPr>
            </w:pPr>
            <w:r>
              <w:rPr>
                <w:color w:val="000000"/>
                <w:sz w:val="16"/>
              </w:rPr>
              <w:t>Prerazporeditve v</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80E19" w14:textId="77777777" w:rsidR="00A77B3E" w:rsidRDefault="005A111E">
            <w:pPr>
              <w:spacing w:before="100"/>
              <w:jc w:val="center"/>
              <w:rPr>
                <w:color w:val="000000"/>
                <w:sz w:val="16"/>
              </w:rPr>
            </w:pPr>
            <w:r>
              <w:rPr>
                <w:color w:val="000000"/>
                <w:sz w:val="16"/>
              </w:rPr>
              <w:t>Razčlenitev po letih</w:t>
            </w:r>
          </w:p>
        </w:tc>
      </w:tr>
      <w:tr w:rsidR="00DE13D3" w14:paraId="0721A36A"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770AC" w14:textId="77777777" w:rsidR="00A77B3E" w:rsidRDefault="005A111E">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A63CE" w14:textId="77777777" w:rsidR="00A77B3E" w:rsidRDefault="005A111E">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3B032" w14:textId="77777777" w:rsidR="00A77B3E" w:rsidRDefault="005A111E">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B709E" w14:textId="77777777" w:rsidR="00A77B3E" w:rsidRDefault="005A111E">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C1A03" w14:textId="77777777" w:rsidR="00A77B3E" w:rsidRDefault="005A111E">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EE346" w14:textId="77777777" w:rsidR="00A77B3E" w:rsidRDefault="005A111E">
            <w:pPr>
              <w:spacing w:before="100"/>
              <w:jc w:val="center"/>
              <w:rPr>
                <w:color w:val="000000"/>
                <w:sz w:val="16"/>
              </w:rPr>
            </w:pPr>
            <w:r>
              <w:rPr>
                <w:color w:val="000000"/>
                <w:sz w:val="16"/>
              </w:rPr>
              <w:t>Skupaj</w:t>
            </w:r>
          </w:p>
        </w:tc>
      </w:tr>
    </w:tbl>
    <w:p w14:paraId="3086C8B7" w14:textId="77777777" w:rsidR="00A77B3E" w:rsidRPr="00DF1E49" w:rsidRDefault="005A111E">
      <w:pPr>
        <w:spacing w:before="100"/>
        <w:rPr>
          <w:color w:val="000000"/>
          <w:sz w:val="16"/>
          <w:lang w:val="it-IT"/>
        </w:rPr>
      </w:pPr>
      <w:r w:rsidRPr="00DF1E49">
        <w:rPr>
          <w:color w:val="000000"/>
          <w:sz w:val="16"/>
          <w:lang w:val="it-IT"/>
        </w:rPr>
        <w:t>* Uporablja se samo za ESRR in ESS+.</w:t>
      </w:r>
    </w:p>
    <w:p w14:paraId="3DCED897" w14:textId="77777777" w:rsidR="00A77B3E" w:rsidRPr="00DF1E49" w:rsidRDefault="00A77B3E">
      <w:pPr>
        <w:spacing w:before="100"/>
        <w:rPr>
          <w:color w:val="000000"/>
          <w:sz w:val="16"/>
          <w:lang w:val="it-IT"/>
        </w:rPr>
      </w:pPr>
    </w:p>
    <w:p w14:paraId="4357F6F7"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30" w:name="_Toc256000089"/>
      <w:r w:rsidRPr="00DF1E49">
        <w:rPr>
          <w:rFonts w:ascii="Times New Roman" w:hAnsi="Times New Roman" w:cs="Times New Roman"/>
          <w:b w:val="0"/>
          <w:i w:val="0"/>
          <w:color w:val="000000"/>
          <w:sz w:val="24"/>
          <w:lang w:val="it-IT"/>
        </w:rPr>
        <w:lastRenderedPageBreak/>
        <w:t>3.4. Prerazporeditve nazaj (1)</w:t>
      </w:r>
      <w:bookmarkEnd w:id="30"/>
    </w:p>
    <w:p w14:paraId="20AA40F7" w14:textId="77777777" w:rsidR="00A77B3E" w:rsidRPr="00DF1E49" w:rsidRDefault="005A111E">
      <w:pPr>
        <w:pStyle w:val="Naslov4"/>
        <w:spacing w:before="100" w:after="0"/>
        <w:rPr>
          <w:b w:val="0"/>
          <w:color w:val="000000"/>
          <w:sz w:val="24"/>
          <w:lang w:val="it-IT"/>
        </w:rPr>
      </w:pPr>
      <w:bookmarkStart w:id="31" w:name="_Toc256000090"/>
      <w:r w:rsidRPr="00DF1E49">
        <w:rPr>
          <w:b w:val="0"/>
          <w:color w:val="000000"/>
          <w:sz w:val="24"/>
          <w:lang w:val="it-IT"/>
        </w:rPr>
        <w:t>Tabela 20A: Prerazporeditve nazaj (razčlenitev po letih)</w:t>
      </w:r>
      <w:bookmarkEnd w:id="31"/>
    </w:p>
    <w:p w14:paraId="3E8B1866" w14:textId="77777777" w:rsidR="00A77B3E" w:rsidRPr="00DF1E49" w:rsidRDefault="00A77B3E">
      <w:pPr>
        <w:spacing w:before="100"/>
        <w:rPr>
          <w:color w:val="000000"/>
          <w:sz w:val="12"/>
          <w:lang w:val="it-IT"/>
        </w:rPr>
      </w:pPr>
    </w:p>
    <w:p w14:paraId="7933E4A2" w14:textId="77777777" w:rsidR="00A77B3E" w:rsidRPr="00DF1E49" w:rsidRDefault="00A77B3E">
      <w:pPr>
        <w:spacing w:before="100"/>
        <w:rPr>
          <w:color w:val="00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862"/>
        <w:gridCol w:w="2133"/>
        <w:gridCol w:w="783"/>
        <w:gridCol w:w="783"/>
        <w:gridCol w:w="783"/>
        <w:gridCol w:w="783"/>
        <w:gridCol w:w="783"/>
        <w:gridCol w:w="783"/>
        <w:gridCol w:w="783"/>
        <w:gridCol w:w="1005"/>
      </w:tblGrid>
      <w:tr w:rsidR="00DE13D3" w14:paraId="158984A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D7040D" w14:textId="77777777" w:rsidR="00A77B3E" w:rsidRDefault="005A111E">
            <w:pPr>
              <w:spacing w:before="100"/>
              <w:jc w:val="center"/>
              <w:rPr>
                <w:color w:val="000000"/>
                <w:sz w:val="16"/>
              </w:rPr>
            </w:pPr>
            <w:r>
              <w:rPr>
                <w:color w:val="000000"/>
                <w:sz w:val="16"/>
              </w:rPr>
              <w:t>Prerazporeditve iz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C34177" w14:textId="77777777" w:rsidR="00A77B3E" w:rsidRDefault="005A111E">
            <w:pPr>
              <w:spacing w:before="100"/>
              <w:jc w:val="center"/>
              <w:rPr>
                <w:color w:val="000000"/>
                <w:sz w:val="16"/>
              </w:rPr>
            </w:pPr>
            <w:r>
              <w:rPr>
                <w:color w:val="000000"/>
                <w:sz w:val="16"/>
              </w:rPr>
              <w:t>Prerazporeditve v</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32470" w14:textId="77777777" w:rsidR="00A77B3E" w:rsidRDefault="005A111E">
            <w:pPr>
              <w:spacing w:before="100"/>
              <w:jc w:val="center"/>
              <w:rPr>
                <w:color w:val="000000"/>
                <w:sz w:val="16"/>
              </w:rPr>
            </w:pPr>
            <w:r>
              <w:rPr>
                <w:color w:val="000000"/>
                <w:sz w:val="16"/>
              </w:rPr>
              <w:t>Razčlenitev po letih</w:t>
            </w:r>
          </w:p>
        </w:tc>
      </w:tr>
      <w:tr w:rsidR="00DE13D3" w14:paraId="076FF4D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B1C0D8" w14:textId="77777777" w:rsidR="00A77B3E" w:rsidRPr="00DF1E49" w:rsidRDefault="005A111E">
            <w:pPr>
              <w:spacing w:before="100"/>
              <w:jc w:val="center"/>
              <w:rPr>
                <w:color w:val="000000"/>
                <w:sz w:val="16"/>
                <w:lang w:val="it-IT"/>
              </w:rPr>
            </w:pPr>
            <w:r w:rsidRPr="00DF1E49">
              <w:rPr>
                <w:color w:val="000000"/>
                <w:sz w:val="16"/>
                <w:lang w:val="it-IT"/>
              </w:rPr>
              <w:t>Instrument InvestEU ali drugi instrumenti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400CB0" w14:textId="77777777" w:rsidR="00A77B3E" w:rsidRDefault="005A111E">
            <w:pPr>
              <w:spacing w:before="100"/>
              <w:jc w:val="center"/>
              <w:rPr>
                <w:color w:val="000000"/>
                <w:sz w:val="16"/>
              </w:rPr>
            </w:pPr>
            <w:r>
              <w:rPr>
                <w:color w:val="000000"/>
                <w:sz w:val="16"/>
              </w:rPr>
              <w:t>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339D33" w14:textId="77777777" w:rsidR="00A77B3E" w:rsidRDefault="005A111E">
            <w:pPr>
              <w:spacing w:before="100"/>
              <w:jc w:val="center"/>
              <w:rPr>
                <w:color w:val="000000"/>
                <w:sz w:val="16"/>
              </w:rPr>
            </w:pPr>
            <w:r>
              <w:rPr>
                <w:color w:val="000000"/>
                <w:sz w:val="16"/>
              </w:rPr>
              <w:t>Kategorija regije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22582A" w14:textId="77777777" w:rsidR="00A77B3E" w:rsidRDefault="005A111E">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9D044B" w14:textId="77777777" w:rsidR="00A77B3E" w:rsidRDefault="005A111E">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BAA48F" w14:textId="77777777" w:rsidR="00A77B3E" w:rsidRDefault="005A111E">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47F0C5" w14:textId="77777777" w:rsidR="00A77B3E" w:rsidRDefault="005A111E">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EC81D9" w14:textId="77777777" w:rsidR="00A77B3E" w:rsidRDefault="005A111E">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3E11DC" w14:textId="77777777" w:rsidR="00A77B3E" w:rsidRDefault="005A111E">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400F52" w14:textId="77777777" w:rsidR="00A77B3E" w:rsidRDefault="005A111E">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9893EE" w14:textId="77777777" w:rsidR="00A77B3E" w:rsidRDefault="005A111E">
            <w:pPr>
              <w:spacing w:before="100"/>
              <w:jc w:val="center"/>
              <w:rPr>
                <w:color w:val="000000"/>
                <w:sz w:val="16"/>
              </w:rPr>
            </w:pPr>
            <w:r>
              <w:rPr>
                <w:color w:val="000000"/>
                <w:sz w:val="16"/>
              </w:rPr>
              <w:t>Skupaj</w:t>
            </w:r>
          </w:p>
        </w:tc>
      </w:tr>
    </w:tbl>
    <w:p w14:paraId="6D0FCA38" w14:textId="77777777" w:rsidR="00A77B3E" w:rsidRDefault="005A111E">
      <w:pPr>
        <w:spacing w:before="100"/>
        <w:rPr>
          <w:color w:val="000000"/>
          <w:sz w:val="16"/>
        </w:rPr>
      </w:pPr>
      <w:r>
        <w:rPr>
          <w:color w:val="000000"/>
          <w:sz w:val="16"/>
        </w:rPr>
        <w:t>(1) Uporablja se samo za spremembe programov za sredstva, prerazporejena nazaj iz drugih instrumentov Unije, vključno z elementi AMIF, SNV in IUMV, v okviru neposrednega ali posrednega upravljanja ali iz instrumenta InvestEU.</w:t>
      </w:r>
    </w:p>
    <w:p w14:paraId="11CDAD73" w14:textId="77777777" w:rsidR="00A77B3E" w:rsidRPr="00DF1E49" w:rsidRDefault="005A111E">
      <w:pPr>
        <w:pStyle w:val="Naslov4"/>
        <w:spacing w:before="100" w:after="0"/>
        <w:rPr>
          <w:b w:val="0"/>
          <w:color w:val="000000"/>
          <w:sz w:val="24"/>
          <w:lang w:val="it-IT"/>
        </w:rPr>
      </w:pPr>
      <w:bookmarkStart w:id="32" w:name="_Toc256000091"/>
      <w:r w:rsidRPr="00DF1E49">
        <w:rPr>
          <w:b w:val="0"/>
          <w:color w:val="000000"/>
          <w:sz w:val="24"/>
          <w:lang w:val="it-IT"/>
        </w:rPr>
        <w:t>Tabela 20B: Prerazporeditve nazaj* (povzetek)</w:t>
      </w:r>
      <w:bookmarkEnd w:id="32"/>
    </w:p>
    <w:p w14:paraId="1A83C5DC" w14:textId="77777777" w:rsidR="00A77B3E" w:rsidRPr="00DF1E49" w:rsidRDefault="00A77B3E">
      <w:pPr>
        <w:spacing w:before="100"/>
        <w:rPr>
          <w:color w:val="000000"/>
          <w:sz w:val="12"/>
          <w:lang w:val="it-IT"/>
        </w:rPr>
      </w:pPr>
    </w:p>
    <w:p w14:paraId="4C4A3B6C" w14:textId="77777777" w:rsidR="00A77B3E" w:rsidRPr="00DF1E49" w:rsidRDefault="00A77B3E">
      <w:pPr>
        <w:spacing w:before="100"/>
        <w:rPr>
          <w:color w:val="00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476"/>
        <w:gridCol w:w="1194"/>
        <w:gridCol w:w="1275"/>
        <w:gridCol w:w="2476"/>
        <w:gridCol w:w="1194"/>
        <w:gridCol w:w="1275"/>
        <w:gridCol w:w="2321"/>
      </w:tblGrid>
      <w:tr w:rsidR="00DE13D3" w14:paraId="380206F5"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56D68868" w14:textId="77777777" w:rsidR="00A77B3E" w:rsidRDefault="005A111E">
            <w:pPr>
              <w:spacing w:before="100"/>
              <w:jc w:val="center"/>
              <w:rPr>
                <w:color w:val="000000"/>
                <w:sz w:val="16"/>
              </w:rPr>
            </w:pPr>
            <w:r>
              <w:rPr>
                <w:color w:val="000000"/>
                <w:sz w:val="16"/>
              </w:rPr>
              <w:t>Iz</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7F3BE661" w14:textId="77777777" w:rsidR="00A77B3E" w:rsidRDefault="005A111E">
            <w:pPr>
              <w:spacing w:before="100"/>
              <w:jc w:val="center"/>
              <w:rPr>
                <w:color w:val="000000"/>
                <w:sz w:val="16"/>
              </w:rPr>
            </w:pPr>
            <w:r>
              <w:rPr>
                <w:color w:val="000000"/>
                <w:sz w:val="16"/>
              </w:rPr>
              <w:t>V</w:t>
            </w:r>
          </w:p>
        </w:tc>
      </w:tr>
      <w:tr w:rsidR="00DE13D3" w14:paraId="2F0FFC92" w14:textId="77777777">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0D1B840" w14:textId="77777777" w:rsidR="00A77B3E" w:rsidRDefault="005A111E">
            <w:pPr>
              <w:spacing w:before="100"/>
              <w:jc w:val="center"/>
              <w:rPr>
                <w:color w:val="000000"/>
                <w:sz w:val="16"/>
              </w:rPr>
            </w:pPr>
            <w:r>
              <w:rPr>
                <w:color w:val="000000"/>
                <w:sz w:val="16"/>
              </w:rPr>
              <w:t>InvestEU / Instrument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8964185" w14:textId="77777777" w:rsidR="00A77B3E" w:rsidRDefault="005A111E">
            <w:pPr>
              <w:spacing w:before="100"/>
              <w:jc w:val="center"/>
              <w:rPr>
                <w:color w:val="000000"/>
                <w:sz w:val="16"/>
              </w:rPr>
            </w:pPr>
            <w:r>
              <w:rPr>
                <w:color w:val="000000"/>
                <w:sz w:val="16"/>
              </w:rPr>
              <w:t>ESRR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75C7617" w14:textId="77777777" w:rsidR="00A77B3E" w:rsidRDefault="005A111E">
            <w:pPr>
              <w:spacing w:before="100"/>
              <w:jc w:val="center"/>
              <w:rPr>
                <w:color w:val="000000"/>
                <w:sz w:val="16"/>
              </w:rPr>
            </w:pPr>
            <w:r>
              <w:rPr>
                <w:color w:val="000000"/>
                <w:sz w:val="16"/>
              </w:rPr>
              <w:t>ESS+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12B23FA" w14:textId="77777777" w:rsidR="00A77B3E" w:rsidRDefault="005A111E">
            <w:pPr>
              <w:spacing w:before="100"/>
              <w:jc w:val="center"/>
              <w:rPr>
                <w:color w:val="000000"/>
                <w:sz w:val="16"/>
              </w:rPr>
            </w:pPr>
            <w:r>
              <w:rPr>
                <w:color w:val="000000"/>
                <w:sz w:val="16"/>
              </w:rPr>
              <w:t>Kohezijski sklad</w:t>
            </w:r>
          </w:p>
        </w:tc>
      </w:tr>
      <w:tr w:rsidR="00DE13D3" w14:paraId="14B59DBA" w14:textId="77777777">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13594336" w14:textId="77777777" w:rsidR="00A77B3E" w:rsidRDefault="00A77B3E">
            <w:pPr>
              <w:spacing w:before="100"/>
              <w:jc w:val="center"/>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62741DBF" w14:textId="77777777" w:rsidR="00A77B3E" w:rsidRDefault="005A111E">
            <w:pPr>
              <w:spacing w:before="100"/>
              <w:jc w:val="center"/>
              <w:rPr>
                <w:color w:val="000000"/>
                <w:sz w:val="16"/>
              </w:rPr>
            </w:pPr>
            <w:r>
              <w:rPr>
                <w:color w:val="000000"/>
                <w:sz w:val="16"/>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1BA60BE5" w14:textId="77777777" w:rsidR="00A77B3E" w:rsidRDefault="005A111E">
            <w:pPr>
              <w:spacing w:before="100"/>
              <w:jc w:val="center"/>
              <w:rPr>
                <w:color w:val="000000"/>
                <w:sz w:val="16"/>
              </w:rPr>
            </w:pPr>
            <w:r>
              <w:rPr>
                <w:color w:val="000000"/>
                <w:sz w:val="16"/>
              </w:rPr>
              <w:t>Prehod</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C230C0F" w14:textId="77777777" w:rsidR="00A77B3E" w:rsidRDefault="005A111E">
            <w:pPr>
              <w:spacing w:before="100"/>
              <w:jc w:val="center"/>
              <w:rPr>
                <w:color w:val="000000"/>
                <w:sz w:val="16"/>
              </w:rPr>
            </w:pPr>
            <w:r>
              <w:rPr>
                <w:color w:val="000000"/>
                <w:sz w:val="16"/>
              </w:rPr>
              <w:t>Razvito</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77927A4E" w14:textId="77777777" w:rsidR="00A77B3E" w:rsidRDefault="005A111E">
            <w:pPr>
              <w:spacing w:before="100"/>
              <w:jc w:val="center"/>
              <w:rPr>
                <w:color w:val="000000"/>
                <w:sz w:val="16"/>
              </w:rPr>
            </w:pPr>
            <w:r>
              <w:rPr>
                <w:color w:val="000000"/>
                <w:sz w:val="16"/>
              </w:rPr>
              <w:t>Bolj razvite regije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96B00E4" w14:textId="77777777" w:rsidR="00A77B3E" w:rsidRDefault="005A111E">
            <w:pPr>
              <w:spacing w:before="100"/>
              <w:jc w:val="center"/>
              <w:rPr>
                <w:color w:val="000000"/>
                <w:sz w:val="16"/>
              </w:rPr>
            </w:pPr>
            <w:r>
              <w:rPr>
                <w:color w:val="000000"/>
                <w:sz w:val="16"/>
              </w:rPr>
              <w:t>Prehod</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290DFCBA" w14:textId="77777777" w:rsidR="00A77B3E" w:rsidRDefault="005A111E">
            <w:pPr>
              <w:spacing w:before="100"/>
              <w:jc w:val="center"/>
              <w:rPr>
                <w:color w:val="000000"/>
                <w:sz w:val="16"/>
              </w:rPr>
            </w:pPr>
            <w:r>
              <w:rPr>
                <w:color w:val="000000"/>
                <w:sz w:val="16"/>
              </w:rPr>
              <w:t>Razvito</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18A53381" w14:textId="77777777" w:rsidR="00A77B3E" w:rsidRDefault="00A77B3E">
            <w:pPr>
              <w:spacing w:before="100"/>
              <w:jc w:val="center"/>
              <w:rPr>
                <w:color w:val="000000"/>
                <w:sz w:val="16"/>
              </w:rPr>
            </w:pPr>
          </w:p>
        </w:tc>
      </w:tr>
    </w:tbl>
    <w:p w14:paraId="1670B573" w14:textId="77777777" w:rsidR="00A77B3E" w:rsidRDefault="005A111E">
      <w:pPr>
        <w:spacing w:before="100"/>
        <w:rPr>
          <w:color w:val="000000"/>
          <w:sz w:val="16"/>
        </w:rPr>
      </w:pPr>
      <w:r>
        <w:rPr>
          <w:color w:val="000000"/>
          <w:sz w:val="16"/>
        </w:rPr>
        <w:t>* Kumulativni zneski za vse prerazporeditve, izvedene s spremembami programa v programskem obdobju. Pri vsakem novem zahtevku za prerazporeditev se v spremembi programa določijo skupni prerazporejeni zneski za vsako leto po skladih in kategorijah regij.</w:t>
      </w:r>
    </w:p>
    <w:p w14:paraId="7CEDBE30" w14:textId="77777777" w:rsidR="00A77B3E" w:rsidRDefault="00A77B3E">
      <w:pPr>
        <w:spacing w:before="100"/>
        <w:rPr>
          <w:color w:val="000000"/>
          <w:sz w:val="16"/>
        </w:rPr>
      </w:pPr>
    </w:p>
    <w:p w14:paraId="47A6273B" w14:textId="77777777" w:rsidR="00A77B3E" w:rsidRDefault="005A111E">
      <w:pPr>
        <w:pStyle w:val="Naslov2"/>
        <w:spacing w:before="100" w:after="0"/>
        <w:rPr>
          <w:rFonts w:ascii="Times New Roman" w:hAnsi="Times New Roman" w:cs="Times New Roman"/>
          <w:b w:val="0"/>
          <w:i w:val="0"/>
          <w:color w:val="000000"/>
          <w:sz w:val="24"/>
        </w:rPr>
      </w:pPr>
      <w:r>
        <w:rPr>
          <w:rFonts w:ascii="Times New Roman" w:hAnsi="Times New Roman" w:cs="Times New Roman"/>
          <w:b w:val="0"/>
          <w:i w:val="0"/>
          <w:color w:val="000000"/>
          <w:sz w:val="16"/>
        </w:rPr>
        <w:br w:type="page"/>
      </w:r>
      <w:bookmarkStart w:id="33" w:name="_Toc256000092"/>
      <w:r>
        <w:rPr>
          <w:rFonts w:ascii="Times New Roman" w:hAnsi="Times New Roman" w:cs="Times New Roman"/>
          <w:b w:val="0"/>
          <w:i w:val="0"/>
          <w:color w:val="000000"/>
          <w:sz w:val="24"/>
        </w:rPr>
        <w:lastRenderedPageBreak/>
        <w:t>3.5. Finančna sredstva po letih</w:t>
      </w:r>
      <w:bookmarkEnd w:id="33"/>
    </w:p>
    <w:p w14:paraId="4C3BDC92" w14:textId="77777777" w:rsidR="00A77B3E" w:rsidRDefault="005A111E">
      <w:pPr>
        <w:spacing w:before="100"/>
        <w:rPr>
          <w:color w:val="000000"/>
        </w:rPr>
      </w:pPr>
      <w:r>
        <w:rPr>
          <w:color w:val="000000"/>
        </w:rPr>
        <w:t>Sklic: člen 22(3)(g)(i) uredbe o skupnih določbah ter členi 3, 4 in 7 uredbe o SPP</w:t>
      </w:r>
    </w:p>
    <w:p w14:paraId="2F89BA96" w14:textId="77777777" w:rsidR="00A77B3E" w:rsidRDefault="00A77B3E">
      <w:pPr>
        <w:spacing w:before="100"/>
        <w:rPr>
          <w:color w:val="000000"/>
          <w:sz w:val="0"/>
        </w:rPr>
      </w:pPr>
    </w:p>
    <w:p w14:paraId="51C7D566" w14:textId="77777777" w:rsidR="00A77B3E" w:rsidRDefault="005A111E">
      <w:pPr>
        <w:pStyle w:val="Naslov4"/>
        <w:spacing w:before="100" w:after="0"/>
        <w:rPr>
          <w:b w:val="0"/>
          <w:color w:val="000000"/>
          <w:sz w:val="24"/>
        </w:rPr>
      </w:pPr>
      <w:bookmarkStart w:id="34" w:name="_Toc256000093"/>
      <w:r>
        <w:rPr>
          <w:b w:val="0"/>
          <w:color w:val="000000"/>
          <w:sz w:val="24"/>
        </w:rPr>
        <w:t>Tabela 10: Finančna sredstva po letih</w:t>
      </w:r>
      <w:bookmarkEnd w:id="34"/>
    </w:p>
    <w:p w14:paraId="7A5279C6" w14:textId="77777777" w:rsidR="00A77B3E" w:rsidRDefault="00A77B3E">
      <w:pPr>
        <w:spacing w:before="100"/>
        <w:rPr>
          <w:color w:val="000000"/>
          <w:sz w:val="12"/>
        </w:rPr>
      </w:pPr>
    </w:p>
    <w:p w14:paraId="4916AB52"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16"/>
        <w:gridCol w:w="1214"/>
        <w:gridCol w:w="1214"/>
        <w:gridCol w:w="1214"/>
        <w:gridCol w:w="1214"/>
        <w:gridCol w:w="1214"/>
        <w:gridCol w:w="1214"/>
        <w:gridCol w:w="1214"/>
        <w:gridCol w:w="1214"/>
        <w:gridCol w:w="1214"/>
        <w:gridCol w:w="1214"/>
      </w:tblGrid>
      <w:tr w:rsidR="00DE13D3" w14:paraId="66300F6B" w14:textId="77777777">
        <w:trPr>
          <w:tblHeader/>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B75584" w14:textId="77777777" w:rsidR="00A77B3E" w:rsidRDefault="005A111E">
            <w:pPr>
              <w:spacing w:before="100"/>
              <w:jc w:val="center"/>
              <w:rPr>
                <w:color w:val="000000"/>
                <w:sz w:val="14"/>
              </w:rPr>
            </w:pPr>
            <w:r>
              <w:rPr>
                <w:color w:val="000000"/>
                <w:sz w:val="14"/>
              </w:rPr>
              <w:t>Sklad</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584B91" w14:textId="77777777" w:rsidR="00A77B3E" w:rsidRDefault="005A111E">
            <w:pPr>
              <w:spacing w:before="100"/>
              <w:jc w:val="center"/>
              <w:rPr>
                <w:color w:val="000000"/>
                <w:sz w:val="14"/>
              </w:rPr>
            </w:pPr>
            <w:r>
              <w:rPr>
                <w:color w:val="000000"/>
                <w:sz w:val="14"/>
              </w:rPr>
              <w:t>Kategorija regije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57F6BC" w14:textId="77777777" w:rsidR="00A77B3E" w:rsidRDefault="005A111E">
            <w:pPr>
              <w:spacing w:before="100"/>
              <w:jc w:val="center"/>
              <w:rPr>
                <w:color w:val="000000"/>
                <w:sz w:val="14"/>
              </w:rPr>
            </w:pPr>
            <w:r>
              <w:rPr>
                <w:color w:val="000000"/>
                <w:sz w:val="14"/>
              </w:rPr>
              <w:t>2021</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A143D7" w14:textId="77777777" w:rsidR="00A77B3E" w:rsidRDefault="005A111E">
            <w:pPr>
              <w:spacing w:before="100"/>
              <w:jc w:val="center"/>
              <w:rPr>
                <w:color w:val="000000"/>
                <w:sz w:val="14"/>
              </w:rPr>
            </w:pPr>
            <w:r>
              <w:rPr>
                <w:color w:val="000000"/>
                <w:sz w:val="14"/>
              </w:rPr>
              <w:t>2022</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B47C20" w14:textId="77777777" w:rsidR="00A77B3E" w:rsidRDefault="005A111E">
            <w:pPr>
              <w:spacing w:before="100"/>
              <w:jc w:val="center"/>
              <w:rPr>
                <w:color w:val="000000"/>
                <w:sz w:val="14"/>
              </w:rPr>
            </w:pPr>
            <w:r>
              <w:rPr>
                <w:color w:val="000000"/>
                <w:sz w:val="14"/>
              </w:rPr>
              <w:t>2023</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0ABC7B" w14:textId="77777777" w:rsidR="00A77B3E" w:rsidRDefault="005A111E">
            <w:pPr>
              <w:spacing w:before="100"/>
              <w:jc w:val="center"/>
              <w:rPr>
                <w:color w:val="000000"/>
                <w:sz w:val="14"/>
              </w:rPr>
            </w:pPr>
            <w:r>
              <w:rPr>
                <w:color w:val="000000"/>
                <w:sz w:val="14"/>
              </w:rPr>
              <w:t>2024</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ED80E4" w14:textId="77777777" w:rsidR="00A77B3E" w:rsidRDefault="005A111E">
            <w:pPr>
              <w:spacing w:before="100"/>
              <w:jc w:val="center"/>
              <w:rPr>
                <w:color w:val="000000"/>
                <w:sz w:val="14"/>
              </w:rPr>
            </w:pPr>
            <w:r>
              <w:rPr>
                <w:color w:val="000000"/>
                <w:sz w:val="14"/>
              </w:rPr>
              <w:t>2025</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768C3C" w14:textId="77777777" w:rsidR="00A77B3E" w:rsidRDefault="005A111E">
            <w:pPr>
              <w:spacing w:before="100"/>
              <w:jc w:val="center"/>
              <w:rPr>
                <w:color w:val="000000"/>
                <w:sz w:val="14"/>
              </w:rPr>
            </w:pPr>
            <w:r>
              <w:rPr>
                <w:color w:val="000000"/>
                <w:sz w:val="14"/>
              </w:rPr>
              <w:t>2026</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EB8BB" w14:textId="77777777" w:rsidR="00A77B3E" w:rsidRDefault="005A111E">
            <w:pPr>
              <w:spacing w:before="100"/>
              <w:jc w:val="center"/>
              <w:rPr>
                <w:color w:val="000000"/>
                <w:sz w:val="14"/>
              </w:rPr>
            </w:pPr>
            <w:r>
              <w:rPr>
                <w:color w:val="000000"/>
                <w:sz w:val="14"/>
              </w:rPr>
              <w:t>2027</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31BD18" w14:textId="77777777" w:rsidR="00A77B3E" w:rsidRDefault="005A111E">
            <w:pPr>
              <w:spacing w:before="100"/>
              <w:jc w:val="center"/>
              <w:rPr>
                <w:color w:val="000000"/>
                <w:sz w:val="14"/>
              </w:rPr>
            </w:pPr>
            <w:r>
              <w:rPr>
                <w:color w:val="000000"/>
                <w:sz w:val="14"/>
              </w:rPr>
              <w:t>Skupaj</w:t>
            </w:r>
          </w:p>
        </w:tc>
      </w:tr>
      <w:tr w:rsidR="00DE13D3" w14:paraId="6A19B352" w14:textId="77777777">
        <w:trPr>
          <w:tblHeader/>
        </w:trPr>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CC6392" w14:textId="77777777" w:rsidR="00A77B3E" w:rsidRDefault="00A77B3E">
            <w:pPr>
              <w:spacing w:before="100"/>
              <w:jc w:val="center"/>
              <w:rPr>
                <w:color w:val="000000"/>
                <w:sz w:val="14"/>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14C0DE"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37BC8C"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490DAA"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E258D"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135031"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F82398" w14:textId="77777777" w:rsidR="00A77B3E" w:rsidRDefault="00A77B3E">
            <w:pPr>
              <w:spacing w:before="100"/>
              <w:jc w:val="center"/>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7A561C" w14:textId="77777777" w:rsidR="00A77B3E" w:rsidRPr="00DF1E49" w:rsidRDefault="005A111E">
            <w:pPr>
              <w:spacing w:before="100"/>
              <w:jc w:val="center"/>
              <w:rPr>
                <w:color w:val="000000"/>
                <w:sz w:val="14"/>
                <w:lang w:val="it-IT"/>
              </w:rPr>
            </w:pPr>
            <w:r w:rsidRPr="00DF1E49">
              <w:rPr>
                <w:color w:val="000000"/>
                <w:sz w:val="14"/>
                <w:lang w:val="it-IT"/>
              </w:rPr>
              <w:t>Odobrena finančna sredstva brez zneska prožnosti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464C7C" w14:textId="77777777" w:rsidR="00A77B3E" w:rsidRDefault="005A111E">
            <w:pPr>
              <w:spacing w:before="100"/>
              <w:jc w:val="center"/>
              <w:rPr>
                <w:color w:val="000000"/>
                <w:sz w:val="14"/>
              </w:rPr>
            </w:pPr>
            <w:r>
              <w:rPr>
                <w:color w:val="000000"/>
                <w:sz w:val="14"/>
              </w:rPr>
              <w:t>Znesek prožnosti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1027F" w14:textId="77777777" w:rsidR="00A77B3E" w:rsidRPr="00DF1E49" w:rsidRDefault="005A111E">
            <w:pPr>
              <w:spacing w:before="100"/>
              <w:jc w:val="center"/>
              <w:rPr>
                <w:color w:val="000000"/>
                <w:sz w:val="14"/>
                <w:lang w:val="it-IT"/>
              </w:rPr>
            </w:pPr>
            <w:r w:rsidRPr="00DF1E49">
              <w:rPr>
                <w:color w:val="000000"/>
                <w:sz w:val="14"/>
                <w:lang w:val="it-IT"/>
              </w:rPr>
              <w:t>Odobrena finančna sredstva brez zneska prožnosti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F9869F" w14:textId="77777777" w:rsidR="00A77B3E" w:rsidRDefault="005A111E">
            <w:pPr>
              <w:spacing w:before="100"/>
              <w:jc w:val="center"/>
              <w:rPr>
                <w:color w:val="000000"/>
                <w:sz w:val="14"/>
              </w:rPr>
            </w:pPr>
            <w:r>
              <w:rPr>
                <w:color w:val="000000"/>
                <w:sz w:val="14"/>
              </w:rPr>
              <w:t>Znesek prožnosti</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AE5C5B" w14:textId="77777777" w:rsidR="00A77B3E" w:rsidRDefault="00A77B3E">
            <w:pPr>
              <w:spacing w:before="100"/>
              <w:jc w:val="center"/>
              <w:rPr>
                <w:color w:val="000000"/>
                <w:sz w:val="14"/>
              </w:rPr>
            </w:pPr>
          </w:p>
        </w:tc>
      </w:tr>
      <w:tr w:rsidR="00DE13D3" w14:paraId="1A49DBB2"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14DB1" w14:textId="77777777" w:rsidR="00A77B3E" w:rsidRDefault="005A111E">
            <w:pPr>
              <w:spacing w:before="100"/>
              <w:rPr>
                <w:color w:val="000000"/>
                <w:sz w:val="14"/>
              </w:rPr>
            </w:pPr>
            <w:r>
              <w:rPr>
                <w:color w:val="000000"/>
                <w:sz w:val="14"/>
              </w:rPr>
              <w:t>ESS+*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E77A4" w14:textId="77777777" w:rsidR="00A77B3E" w:rsidRDefault="005A111E">
            <w:pPr>
              <w:spacing w:before="100"/>
              <w:rPr>
                <w:color w:val="000000"/>
                <w:sz w:val="14"/>
              </w:rPr>
            </w:pPr>
            <w:r>
              <w:rPr>
                <w:color w:val="000000"/>
                <w:sz w:val="14"/>
              </w:rPr>
              <w:t>Bolj razvite regije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07744" w14:textId="77777777" w:rsidR="00A77B3E" w:rsidRDefault="005A111E">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BC3761" w14:textId="77777777" w:rsidR="00A77B3E" w:rsidRDefault="005A111E">
            <w:pPr>
              <w:spacing w:before="100"/>
              <w:jc w:val="right"/>
              <w:rPr>
                <w:color w:val="000000"/>
                <w:sz w:val="14"/>
              </w:rPr>
            </w:pPr>
            <w:r>
              <w:rPr>
                <w:color w:val="000000"/>
                <w:sz w:val="14"/>
              </w:rPr>
              <w:t>1.960.000,00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56F9C" w14:textId="77777777" w:rsidR="00A77B3E" w:rsidRDefault="005A111E">
            <w:pPr>
              <w:spacing w:before="100"/>
              <w:jc w:val="right"/>
              <w:rPr>
                <w:color w:val="000000"/>
                <w:sz w:val="14"/>
              </w:rPr>
            </w:pPr>
            <w:r>
              <w:rPr>
                <w:color w:val="000000"/>
                <w:sz w:val="14"/>
              </w:rPr>
              <w:t>1.960.000,00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798AD" w14:textId="77777777" w:rsidR="00A77B3E" w:rsidRDefault="005A111E">
            <w:pPr>
              <w:spacing w:before="100"/>
              <w:jc w:val="right"/>
              <w:rPr>
                <w:color w:val="000000"/>
                <w:sz w:val="14"/>
              </w:rPr>
            </w:pPr>
            <w:r>
              <w:rPr>
                <w:color w:val="000000"/>
                <w:sz w:val="14"/>
              </w:rPr>
              <w:t>1.960.000,00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8F8FE" w14:textId="77777777" w:rsidR="00A77B3E" w:rsidRDefault="005A111E">
            <w:pPr>
              <w:spacing w:before="100"/>
              <w:jc w:val="right"/>
              <w:rPr>
                <w:color w:val="000000"/>
                <w:sz w:val="14"/>
              </w:rPr>
            </w:pPr>
            <w:r>
              <w:rPr>
                <w:color w:val="000000"/>
                <w:sz w:val="14"/>
              </w:rPr>
              <w:t>1.960.000,00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50170" w14:textId="77777777" w:rsidR="00A77B3E" w:rsidRDefault="005A111E">
            <w:pPr>
              <w:spacing w:before="100"/>
              <w:jc w:val="right"/>
              <w:rPr>
                <w:color w:val="000000"/>
                <w:sz w:val="14"/>
              </w:rPr>
            </w:pPr>
            <w:r>
              <w:rPr>
                <w:color w:val="000000"/>
                <w:sz w:val="14"/>
              </w:rPr>
              <w:t>980.000,00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50560" w14:textId="77777777" w:rsidR="00A77B3E" w:rsidRDefault="005A111E">
            <w:pPr>
              <w:spacing w:before="100"/>
              <w:jc w:val="right"/>
              <w:rPr>
                <w:color w:val="000000"/>
                <w:sz w:val="14"/>
              </w:rPr>
            </w:pPr>
            <w:r>
              <w:rPr>
                <w:color w:val="000000"/>
                <w:sz w:val="14"/>
              </w:rPr>
              <w:t>980.000,00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BE5A1" w14:textId="77777777" w:rsidR="00A77B3E" w:rsidRDefault="005A111E">
            <w:pPr>
              <w:spacing w:before="100"/>
              <w:jc w:val="right"/>
              <w:rPr>
                <w:color w:val="000000"/>
                <w:sz w:val="14"/>
              </w:rPr>
            </w:pPr>
            <w:r>
              <w:rPr>
                <w:color w:val="000000"/>
                <w:sz w:val="14"/>
              </w:rPr>
              <w:t>980.000,00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51C58" w14:textId="77777777" w:rsidR="00A77B3E" w:rsidRDefault="005A111E">
            <w:pPr>
              <w:spacing w:before="100"/>
              <w:jc w:val="right"/>
              <w:rPr>
                <w:color w:val="000000"/>
                <w:sz w:val="14"/>
              </w:rPr>
            </w:pPr>
            <w:r>
              <w:rPr>
                <w:color w:val="000000"/>
                <w:sz w:val="14"/>
              </w:rPr>
              <w:t>980.000,00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D210E" w14:textId="77777777" w:rsidR="00A77B3E" w:rsidRDefault="005A111E">
            <w:pPr>
              <w:spacing w:before="100"/>
              <w:jc w:val="right"/>
              <w:rPr>
                <w:color w:val="000000"/>
                <w:sz w:val="14"/>
              </w:rPr>
            </w:pPr>
            <w:r>
              <w:rPr>
                <w:color w:val="000000"/>
                <w:sz w:val="14"/>
              </w:rPr>
              <w:t>11.760.000,00</w:t>
            </w:r>
          </w:p>
        </w:tc>
      </w:tr>
      <w:tr w:rsidR="00DE13D3" w14:paraId="358AE76D"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E0BB1" w14:textId="77777777" w:rsidR="00A77B3E" w:rsidRDefault="005A111E">
            <w:pPr>
              <w:spacing w:before="100"/>
              <w:rPr>
                <w:color w:val="000000"/>
                <w:sz w:val="14"/>
              </w:rPr>
            </w:pPr>
            <w:r>
              <w:rPr>
                <w:color w:val="000000"/>
                <w:sz w:val="14"/>
              </w:rPr>
              <w:t>ESS+*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3387A" w14:textId="77777777" w:rsidR="00A77B3E" w:rsidRDefault="005A111E">
            <w:pPr>
              <w:spacing w:before="100"/>
              <w:rPr>
                <w:color w:val="000000"/>
                <w:sz w:val="14"/>
              </w:rPr>
            </w:pPr>
            <w:r>
              <w:rPr>
                <w:color w:val="000000"/>
                <w:sz w:val="14"/>
              </w:rPr>
              <w:t>Manj razvite regije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A7C7B" w14:textId="77777777" w:rsidR="00A77B3E" w:rsidRDefault="005A111E">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66490" w14:textId="77777777" w:rsidR="00A77B3E" w:rsidRDefault="005A111E">
            <w:pPr>
              <w:spacing w:before="100"/>
              <w:jc w:val="right"/>
              <w:rPr>
                <w:color w:val="000000"/>
                <w:sz w:val="14"/>
              </w:rPr>
            </w:pPr>
            <w:r>
              <w:rPr>
                <w:color w:val="000000"/>
                <w:sz w:val="14"/>
              </w:rPr>
              <w:t>2.940.000,00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C8EC0" w14:textId="77777777" w:rsidR="00A77B3E" w:rsidRDefault="005A111E">
            <w:pPr>
              <w:spacing w:before="100"/>
              <w:jc w:val="right"/>
              <w:rPr>
                <w:color w:val="000000"/>
                <w:sz w:val="14"/>
              </w:rPr>
            </w:pPr>
            <w:r>
              <w:rPr>
                <w:color w:val="000000"/>
                <w:sz w:val="14"/>
              </w:rPr>
              <w:t>2.940.000,00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D3C90" w14:textId="77777777" w:rsidR="00A77B3E" w:rsidRDefault="005A111E">
            <w:pPr>
              <w:spacing w:before="100"/>
              <w:jc w:val="right"/>
              <w:rPr>
                <w:color w:val="000000"/>
                <w:sz w:val="14"/>
              </w:rPr>
            </w:pPr>
            <w:r>
              <w:rPr>
                <w:color w:val="000000"/>
                <w:sz w:val="14"/>
              </w:rPr>
              <w:t>2.940.000,00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90781" w14:textId="77777777" w:rsidR="00A77B3E" w:rsidRDefault="005A111E">
            <w:pPr>
              <w:spacing w:before="100"/>
              <w:jc w:val="right"/>
              <w:rPr>
                <w:color w:val="000000"/>
                <w:sz w:val="14"/>
              </w:rPr>
            </w:pPr>
            <w:r>
              <w:rPr>
                <w:color w:val="000000"/>
                <w:sz w:val="14"/>
              </w:rPr>
              <w:t>2.940.000,00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19344" w14:textId="77777777" w:rsidR="00A77B3E" w:rsidRDefault="005A111E">
            <w:pPr>
              <w:spacing w:before="100"/>
              <w:jc w:val="right"/>
              <w:rPr>
                <w:color w:val="000000"/>
                <w:sz w:val="14"/>
              </w:rPr>
            </w:pPr>
            <w:r>
              <w:rPr>
                <w:color w:val="000000"/>
                <w:sz w:val="14"/>
              </w:rPr>
              <w:t>1.470.000,00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B7968" w14:textId="77777777" w:rsidR="00A77B3E" w:rsidRDefault="005A111E">
            <w:pPr>
              <w:spacing w:before="100"/>
              <w:jc w:val="right"/>
              <w:rPr>
                <w:color w:val="000000"/>
                <w:sz w:val="14"/>
              </w:rPr>
            </w:pPr>
            <w:r>
              <w:rPr>
                <w:color w:val="000000"/>
                <w:sz w:val="14"/>
              </w:rPr>
              <w:t>1.470.000,00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D5796" w14:textId="77777777" w:rsidR="00A77B3E" w:rsidRDefault="005A111E">
            <w:pPr>
              <w:spacing w:before="100"/>
              <w:jc w:val="right"/>
              <w:rPr>
                <w:color w:val="000000"/>
                <w:sz w:val="14"/>
              </w:rPr>
            </w:pPr>
            <w:r>
              <w:rPr>
                <w:color w:val="000000"/>
                <w:sz w:val="14"/>
              </w:rPr>
              <w:t>1.470.000,00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5CFF0" w14:textId="77777777" w:rsidR="00A77B3E" w:rsidRDefault="005A111E">
            <w:pPr>
              <w:spacing w:before="100"/>
              <w:jc w:val="right"/>
              <w:rPr>
                <w:color w:val="000000"/>
                <w:sz w:val="14"/>
              </w:rPr>
            </w:pPr>
            <w:r>
              <w:rPr>
                <w:color w:val="000000"/>
                <w:sz w:val="14"/>
              </w:rPr>
              <w:t>1.470.000,00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6F7BC" w14:textId="77777777" w:rsidR="00A77B3E" w:rsidRDefault="005A111E">
            <w:pPr>
              <w:spacing w:before="100"/>
              <w:jc w:val="right"/>
              <w:rPr>
                <w:color w:val="000000"/>
                <w:sz w:val="14"/>
              </w:rPr>
            </w:pPr>
            <w:r>
              <w:rPr>
                <w:color w:val="000000"/>
                <w:sz w:val="14"/>
              </w:rPr>
              <w:t>17.640.000,00</w:t>
            </w:r>
          </w:p>
        </w:tc>
      </w:tr>
      <w:tr w:rsidR="00DE13D3" w14:paraId="0169E188"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D0B74" w14:textId="77777777" w:rsidR="00A77B3E" w:rsidRDefault="005A111E">
            <w:pPr>
              <w:spacing w:before="100"/>
              <w:rPr>
                <w:color w:val="000000"/>
                <w:sz w:val="14"/>
              </w:rPr>
            </w:pPr>
            <w:r>
              <w:rPr>
                <w:color w:val="000000"/>
                <w:sz w:val="14"/>
              </w:rPr>
              <w:t>Skupaj ESS+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D263A"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044AF" w14:textId="77777777" w:rsidR="00A77B3E" w:rsidRDefault="005A111E">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7973B" w14:textId="77777777" w:rsidR="00A77B3E" w:rsidRDefault="005A111E">
            <w:pPr>
              <w:spacing w:before="100"/>
              <w:jc w:val="right"/>
              <w:rPr>
                <w:color w:val="000000"/>
                <w:sz w:val="14"/>
              </w:rPr>
            </w:pPr>
            <w:r>
              <w:rPr>
                <w:color w:val="000000"/>
                <w:sz w:val="14"/>
              </w:rPr>
              <w:t>4.900.000,00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1B257" w14:textId="77777777" w:rsidR="00A77B3E" w:rsidRDefault="005A111E">
            <w:pPr>
              <w:spacing w:before="100"/>
              <w:jc w:val="right"/>
              <w:rPr>
                <w:color w:val="000000"/>
                <w:sz w:val="14"/>
              </w:rPr>
            </w:pPr>
            <w:r>
              <w:rPr>
                <w:color w:val="000000"/>
                <w:sz w:val="14"/>
              </w:rPr>
              <w:t>4.900.000,00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36968" w14:textId="77777777" w:rsidR="00A77B3E" w:rsidRDefault="005A111E">
            <w:pPr>
              <w:spacing w:before="100"/>
              <w:jc w:val="right"/>
              <w:rPr>
                <w:color w:val="000000"/>
                <w:sz w:val="14"/>
              </w:rPr>
            </w:pPr>
            <w:r>
              <w:rPr>
                <w:color w:val="000000"/>
                <w:sz w:val="14"/>
              </w:rPr>
              <w:t>4.900.000,00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F7E4C" w14:textId="77777777" w:rsidR="00A77B3E" w:rsidRDefault="005A111E">
            <w:pPr>
              <w:spacing w:before="100"/>
              <w:jc w:val="right"/>
              <w:rPr>
                <w:color w:val="000000"/>
                <w:sz w:val="14"/>
              </w:rPr>
            </w:pPr>
            <w:r>
              <w:rPr>
                <w:color w:val="000000"/>
                <w:sz w:val="14"/>
              </w:rPr>
              <w:t>4.900.000,00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CCFF9" w14:textId="77777777" w:rsidR="00A77B3E" w:rsidRDefault="005A111E">
            <w:pPr>
              <w:spacing w:before="100"/>
              <w:jc w:val="right"/>
              <w:rPr>
                <w:color w:val="000000"/>
                <w:sz w:val="14"/>
              </w:rPr>
            </w:pPr>
            <w:r>
              <w:rPr>
                <w:color w:val="000000"/>
                <w:sz w:val="14"/>
              </w:rPr>
              <w:t>2.450.000,00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35D4B" w14:textId="77777777" w:rsidR="00A77B3E" w:rsidRDefault="005A111E">
            <w:pPr>
              <w:spacing w:before="100"/>
              <w:jc w:val="right"/>
              <w:rPr>
                <w:color w:val="000000"/>
                <w:sz w:val="14"/>
              </w:rPr>
            </w:pPr>
            <w:r>
              <w:rPr>
                <w:color w:val="000000"/>
                <w:sz w:val="14"/>
              </w:rPr>
              <w:t>2.450.000,00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EFE48" w14:textId="77777777" w:rsidR="00A77B3E" w:rsidRDefault="005A111E">
            <w:pPr>
              <w:spacing w:before="100"/>
              <w:jc w:val="right"/>
              <w:rPr>
                <w:color w:val="000000"/>
                <w:sz w:val="14"/>
              </w:rPr>
            </w:pPr>
            <w:r>
              <w:rPr>
                <w:color w:val="000000"/>
                <w:sz w:val="14"/>
              </w:rPr>
              <w:t>2.450.000,00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DE9B2" w14:textId="77777777" w:rsidR="00A77B3E" w:rsidRDefault="005A111E">
            <w:pPr>
              <w:spacing w:before="100"/>
              <w:jc w:val="right"/>
              <w:rPr>
                <w:color w:val="000000"/>
                <w:sz w:val="14"/>
              </w:rPr>
            </w:pPr>
            <w:r>
              <w:rPr>
                <w:color w:val="000000"/>
                <w:sz w:val="14"/>
              </w:rPr>
              <w:t>2.450.000,00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B2DD4" w14:textId="77777777" w:rsidR="00A77B3E" w:rsidRDefault="005A111E">
            <w:pPr>
              <w:spacing w:before="100"/>
              <w:jc w:val="right"/>
              <w:rPr>
                <w:color w:val="000000"/>
                <w:sz w:val="14"/>
              </w:rPr>
            </w:pPr>
            <w:r>
              <w:rPr>
                <w:color w:val="000000"/>
                <w:sz w:val="14"/>
              </w:rPr>
              <w:t>29.400.000,00</w:t>
            </w:r>
          </w:p>
        </w:tc>
      </w:tr>
      <w:tr w:rsidR="00DE13D3" w14:paraId="32C76B45"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DC4C5" w14:textId="77777777" w:rsidR="00A77B3E" w:rsidRDefault="005A111E">
            <w:pPr>
              <w:spacing w:before="100"/>
              <w:rPr>
                <w:color w:val="000000"/>
                <w:sz w:val="14"/>
              </w:rPr>
            </w:pPr>
            <w:r>
              <w:rPr>
                <w:color w:val="000000"/>
                <w:sz w:val="14"/>
              </w:rPr>
              <w:t>Skupaj</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29369"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DD9EA" w14:textId="77777777" w:rsidR="00A77B3E" w:rsidRDefault="005A111E">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DDDBF" w14:textId="77777777" w:rsidR="00A77B3E" w:rsidRDefault="005A111E">
            <w:pPr>
              <w:spacing w:before="100"/>
              <w:jc w:val="right"/>
              <w:rPr>
                <w:color w:val="000000"/>
                <w:sz w:val="14"/>
              </w:rPr>
            </w:pPr>
            <w:r>
              <w:rPr>
                <w:color w:val="000000"/>
                <w:sz w:val="14"/>
              </w:rPr>
              <w:t>4.900.000,00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0A5E7" w14:textId="77777777" w:rsidR="00A77B3E" w:rsidRDefault="005A111E">
            <w:pPr>
              <w:spacing w:before="100"/>
              <w:jc w:val="right"/>
              <w:rPr>
                <w:color w:val="000000"/>
                <w:sz w:val="14"/>
              </w:rPr>
            </w:pPr>
            <w:r>
              <w:rPr>
                <w:color w:val="000000"/>
                <w:sz w:val="14"/>
              </w:rPr>
              <w:t>4.900.000,00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96DA0" w14:textId="77777777" w:rsidR="00A77B3E" w:rsidRDefault="005A111E">
            <w:pPr>
              <w:spacing w:before="100"/>
              <w:jc w:val="right"/>
              <w:rPr>
                <w:color w:val="000000"/>
                <w:sz w:val="14"/>
              </w:rPr>
            </w:pPr>
            <w:r>
              <w:rPr>
                <w:color w:val="000000"/>
                <w:sz w:val="14"/>
              </w:rPr>
              <w:t>4.900.000,00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F83BE" w14:textId="77777777" w:rsidR="00A77B3E" w:rsidRDefault="005A111E">
            <w:pPr>
              <w:spacing w:before="100"/>
              <w:jc w:val="right"/>
              <w:rPr>
                <w:color w:val="000000"/>
                <w:sz w:val="14"/>
              </w:rPr>
            </w:pPr>
            <w:r>
              <w:rPr>
                <w:color w:val="000000"/>
                <w:sz w:val="14"/>
              </w:rPr>
              <w:t>4.900.000,00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DEA16" w14:textId="77777777" w:rsidR="00A77B3E" w:rsidRDefault="005A111E">
            <w:pPr>
              <w:spacing w:before="100"/>
              <w:jc w:val="right"/>
              <w:rPr>
                <w:color w:val="000000"/>
                <w:sz w:val="14"/>
              </w:rPr>
            </w:pPr>
            <w:r>
              <w:rPr>
                <w:color w:val="000000"/>
                <w:sz w:val="14"/>
              </w:rPr>
              <w:t>2.450.000,00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A3491" w14:textId="77777777" w:rsidR="00A77B3E" w:rsidRDefault="005A111E">
            <w:pPr>
              <w:spacing w:before="100"/>
              <w:jc w:val="right"/>
              <w:rPr>
                <w:color w:val="000000"/>
                <w:sz w:val="14"/>
              </w:rPr>
            </w:pPr>
            <w:r>
              <w:rPr>
                <w:color w:val="000000"/>
                <w:sz w:val="14"/>
              </w:rPr>
              <w:t>2.450.000,00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F9210" w14:textId="77777777" w:rsidR="00A77B3E" w:rsidRDefault="005A111E">
            <w:pPr>
              <w:spacing w:before="100"/>
              <w:jc w:val="right"/>
              <w:rPr>
                <w:color w:val="000000"/>
                <w:sz w:val="14"/>
              </w:rPr>
            </w:pPr>
            <w:r>
              <w:rPr>
                <w:color w:val="000000"/>
                <w:sz w:val="14"/>
              </w:rPr>
              <w:t>2.450.000,00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36585" w14:textId="77777777" w:rsidR="00A77B3E" w:rsidRDefault="005A111E">
            <w:pPr>
              <w:spacing w:before="100"/>
              <w:jc w:val="right"/>
              <w:rPr>
                <w:color w:val="000000"/>
                <w:sz w:val="14"/>
              </w:rPr>
            </w:pPr>
            <w:r>
              <w:rPr>
                <w:color w:val="000000"/>
                <w:sz w:val="14"/>
              </w:rPr>
              <w:t>2.450.000,00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AAD4E" w14:textId="77777777" w:rsidR="00A77B3E" w:rsidRDefault="005A111E">
            <w:pPr>
              <w:spacing w:before="100"/>
              <w:jc w:val="right"/>
              <w:rPr>
                <w:color w:val="000000"/>
                <w:sz w:val="14"/>
              </w:rPr>
            </w:pPr>
            <w:r>
              <w:rPr>
                <w:color w:val="000000"/>
                <w:sz w:val="14"/>
              </w:rPr>
              <w:t>29.400.000,00</w:t>
            </w:r>
          </w:p>
        </w:tc>
      </w:tr>
    </w:tbl>
    <w:p w14:paraId="276AF90E" w14:textId="77777777" w:rsidR="00A77B3E" w:rsidRPr="00DF1E49" w:rsidRDefault="005A111E">
      <w:pPr>
        <w:spacing w:before="100"/>
        <w:rPr>
          <w:color w:val="000000"/>
          <w:sz w:val="14"/>
          <w:lang w:val="it-IT"/>
        </w:rPr>
        <w:sectPr w:rsidR="00A77B3E" w:rsidRPr="00DF1E49">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r w:rsidRPr="00DF1E49">
        <w:rPr>
          <w:color w:val="000000"/>
          <w:sz w:val="14"/>
          <w:lang w:val="it-IT"/>
        </w:rPr>
        <w:t>* zneski po dopolnilni prerazporeditvi v SPP.</w:t>
      </w:r>
    </w:p>
    <w:p w14:paraId="4DE15066"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35" w:name="_Toc256000094"/>
      <w:r w:rsidRPr="00DF1E49">
        <w:rPr>
          <w:rFonts w:ascii="Times New Roman" w:hAnsi="Times New Roman" w:cs="Times New Roman"/>
          <w:b w:val="0"/>
          <w:i w:val="0"/>
          <w:color w:val="000000"/>
          <w:sz w:val="24"/>
          <w:lang w:val="it-IT"/>
        </w:rPr>
        <w:lastRenderedPageBreak/>
        <w:t>3.6. Skupna finančna sredstva po skladih in nacionalno sofinanciranje</w:t>
      </w:r>
      <w:bookmarkEnd w:id="35"/>
    </w:p>
    <w:p w14:paraId="57D62960" w14:textId="77777777" w:rsidR="00A77B3E" w:rsidRPr="00DF1E49" w:rsidRDefault="00A77B3E">
      <w:pPr>
        <w:spacing w:before="100"/>
        <w:rPr>
          <w:color w:val="000000"/>
          <w:sz w:val="0"/>
          <w:lang w:val="it-IT"/>
        </w:rPr>
      </w:pPr>
    </w:p>
    <w:p w14:paraId="4DFE3D49" w14:textId="77777777" w:rsidR="00A77B3E" w:rsidRDefault="005A111E">
      <w:pPr>
        <w:spacing w:before="100"/>
        <w:rPr>
          <w:color w:val="000000"/>
        </w:rPr>
      </w:pPr>
      <w:r>
        <w:rPr>
          <w:color w:val="000000"/>
        </w:rPr>
        <w:t>Sklic: člen 22(3)(g)(ii), člen 22(6) in člen 36 uredbe o skupnih določbah</w:t>
      </w:r>
    </w:p>
    <w:p w14:paraId="2D820B90" w14:textId="77777777" w:rsidR="00A77B3E" w:rsidRDefault="00A77B3E">
      <w:pPr>
        <w:spacing w:before="100"/>
        <w:rPr>
          <w:color w:val="000000"/>
          <w:sz w:val="0"/>
        </w:rPr>
      </w:pPr>
    </w:p>
    <w:p w14:paraId="71025852" w14:textId="77777777" w:rsidR="00A77B3E" w:rsidRDefault="005A111E">
      <w:pPr>
        <w:spacing w:before="100"/>
        <w:rPr>
          <w:color w:val="000000"/>
        </w:rPr>
      </w:pPr>
      <w:r>
        <w:rPr>
          <w:color w:val="000000"/>
        </w:rPr>
        <w:t>Za cilj „naložbe za delovna mesta in rast“: programi, ki uporabljajo tehnično pomoč v skladu s členom 36(5) uredbe o skupnih določbah v skladu z odločitvijo iz sporazuma o partnerstvu.</w:t>
      </w:r>
    </w:p>
    <w:p w14:paraId="020326CC" w14:textId="77777777" w:rsidR="00A77B3E" w:rsidRPr="00DF1E49" w:rsidRDefault="005A111E">
      <w:pPr>
        <w:pStyle w:val="Naslov4"/>
        <w:spacing w:before="100" w:after="0"/>
        <w:rPr>
          <w:b w:val="0"/>
          <w:color w:val="000000"/>
          <w:sz w:val="24"/>
          <w:lang w:val="it-IT"/>
        </w:rPr>
      </w:pPr>
      <w:bookmarkStart w:id="36" w:name="_Toc256000095"/>
      <w:r w:rsidRPr="00DF1E49">
        <w:rPr>
          <w:b w:val="0"/>
          <w:color w:val="000000"/>
          <w:sz w:val="24"/>
          <w:lang w:val="it-IT"/>
        </w:rPr>
        <w:t>Tabela 11: Skupne finančne dodelitve po skladih in nacionalni prispevek</w:t>
      </w:r>
      <w:bookmarkEnd w:id="36"/>
    </w:p>
    <w:p w14:paraId="4DF40DE4" w14:textId="77777777" w:rsidR="00A77B3E" w:rsidRPr="00DF1E49" w:rsidRDefault="00A77B3E">
      <w:pPr>
        <w:spacing w:before="100"/>
        <w:rPr>
          <w:color w:val="000000"/>
          <w:sz w:val="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012"/>
        <w:gridCol w:w="1012"/>
        <w:gridCol w:w="1012"/>
        <w:gridCol w:w="1012"/>
        <w:gridCol w:w="1012"/>
        <w:gridCol w:w="1012"/>
        <w:gridCol w:w="1011"/>
        <w:gridCol w:w="1011"/>
        <w:gridCol w:w="1011"/>
        <w:gridCol w:w="1011"/>
        <w:gridCol w:w="1011"/>
        <w:gridCol w:w="1011"/>
        <w:gridCol w:w="1011"/>
        <w:gridCol w:w="1011"/>
      </w:tblGrid>
      <w:tr w:rsidR="00DE13D3" w14:paraId="33963F52"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C5BCFF" w14:textId="77777777" w:rsidR="00A77B3E" w:rsidRPr="00DF1E49" w:rsidRDefault="005A111E">
            <w:pPr>
              <w:spacing w:before="100"/>
              <w:jc w:val="center"/>
              <w:rPr>
                <w:color w:val="000000"/>
                <w:sz w:val="12"/>
                <w:lang w:val="it-IT"/>
              </w:rPr>
            </w:pPr>
            <w:r w:rsidRPr="00DF1E49">
              <w:rPr>
                <w:color w:val="000000"/>
                <w:sz w:val="12"/>
                <w:lang w:val="it-IT"/>
              </w:rPr>
              <w:t>Številka specifičnega cilja politike / SPP ali tehnična pomoč</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F052F7" w14:textId="77777777" w:rsidR="00A77B3E" w:rsidRDefault="005A111E">
            <w:pPr>
              <w:spacing w:before="100"/>
              <w:jc w:val="center"/>
              <w:rPr>
                <w:color w:val="000000"/>
                <w:sz w:val="12"/>
              </w:rPr>
            </w:pPr>
            <w:r>
              <w:rPr>
                <w:color w:val="000000"/>
                <w:sz w:val="12"/>
              </w:rPr>
              <w:t>Prednostna naloga</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AB766B" w14:textId="77777777" w:rsidR="00A77B3E" w:rsidRPr="00DF1E49" w:rsidRDefault="005A111E">
            <w:pPr>
              <w:spacing w:before="100"/>
              <w:jc w:val="center"/>
              <w:rPr>
                <w:color w:val="000000"/>
                <w:sz w:val="12"/>
                <w:lang w:val="it-IT"/>
              </w:rPr>
            </w:pPr>
            <w:r w:rsidRPr="00DF1E49">
              <w:rPr>
                <w:color w:val="000000"/>
                <w:sz w:val="12"/>
                <w:lang w:val="it-IT"/>
              </w:rPr>
              <w:t>Osnova za izračun podpore Unije</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EAB28D" w14:textId="77777777" w:rsidR="00A77B3E" w:rsidRDefault="005A111E">
            <w:pPr>
              <w:spacing w:before="100"/>
              <w:jc w:val="center"/>
              <w:rPr>
                <w:color w:val="000000"/>
                <w:sz w:val="12"/>
              </w:rPr>
            </w:pPr>
            <w:r>
              <w:rPr>
                <w:color w:val="000000"/>
                <w:sz w:val="12"/>
              </w:rPr>
              <w:t>Sklad</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D0903C" w14:textId="77777777" w:rsidR="00A77B3E" w:rsidRDefault="005A111E">
            <w:pPr>
              <w:spacing w:before="100"/>
              <w:jc w:val="center"/>
              <w:rPr>
                <w:color w:val="000000"/>
                <w:sz w:val="12"/>
              </w:rPr>
            </w:pPr>
            <w:r>
              <w:rPr>
                <w:color w:val="000000"/>
                <w:sz w:val="12"/>
              </w:rPr>
              <w:t>Kategorija regije*</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3A0C70" w14:textId="77777777" w:rsidR="00A77B3E" w:rsidRDefault="005A111E">
            <w:pPr>
              <w:spacing w:before="100"/>
              <w:jc w:val="center"/>
              <w:rPr>
                <w:color w:val="000000"/>
                <w:sz w:val="12"/>
              </w:rPr>
            </w:pPr>
            <w:r>
              <w:rPr>
                <w:color w:val="000000"/>
                <w:sz w:val="12"/>
              </w:rPr>
              <w:t>Prispevek Unije (a) = (b) + (c) + (i) + (j)</w:t>
            </w:r>
          </w:p>
        </w:tc>
        <w:tc>
          <w:tcPr>
            <w:tcW w:w="4000" w:type="dxa"/>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FBF8D4" w14:textId="77777777" w:rsidR="00A77B3E" w:rsidRDefault="005A111E">
            <w:pPr>
              <w:spacing w:before="100"/>
              <w:jc w:val="center"/>
              <w:rPr>
                <w:color w:val="000000"/>
                <w:sz w:val="12"/>
              </w:rPr>
            </w:pPr>
            <w:r>
              <w:rPr>
                <w:color w:val="000000"/>
                <w:sz w:val="12"/>
              </w:rPr>
              <w:t>Razčlenitev prispevka Unije</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85DC8B" w14:textId="77777777" w:rsidR="00A77B3E" w:rsidRPr="00DF1E49" w:rsidRDefault="005A111E">
            <w:pPr>
              <w:spacing w:before="100"/>
              <w:jc w:val="center"/>
              <w:rPr>
                <w:color w:val="000000"/>
                <w:sz w:val="12"/>
                <w:lang w:val="it-IT"/>
              </w:rPr>
            </w:pPr>
            <w:r w:rsidRPr="00DF1E49">
              <w:rPr>
                <w:color w:val="000000"/>
                <w:sz w:val="12"/>
                <w:lang w:val="it-IT"/>
              </w:rPr>
              <w:t>Nacionalni prispevek (d) = (e) + (f)</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6AA054" w14:textId="77777777" w:rsidR="00A77B3E" w:rsidRDefault="005A111E">
            <w:pPr>
              <w:spacing w:before="100"/>
              <w:jc w:val="center"/>
              <w:rPr>
                <w:color w:val="000000"/>
                <w:sz w:val="12"/>
              </w:rPr>
            </w:pPr>
            <w:r>
              <w:rPr>
                <w:color w:val="000000"/>
                <w:sz w:val="12"/>
              </w:rPr>
              <w:t>Okvirna razčlenitev nacionalnega prispevka</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959C91" w14:textId="77777777" w:rsidR="00A77B3E" w:rsidRDefault="005A111E">
            <w:pPr>
              <w:spacing w:before="100"/>
              <w:jc w:val="center"/>
              <w:rPr>
                <w:color w:val="000000"/>
                <w:sz w:val="12"/>
              </w:rPr>
            </w:pPr>
            <w:r>
              <w:rPr>
                <w:color w:val="000000"/>
                <w:sz w:val="12"/>
              </w:rPr>
              <w:t>Skupaj (g)=(a)+(d)</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A44FCD" w14:textId="77777777" w:rsidR="00A77B3E" w:rsidRDefault="005A111E">
            <w:pPr>
              <w:spacing w:before="100"/>
              <w:jc w:val="center"/>
              <w:rPr>
                <w:color w:val="000000"/>
                <w:sz w:val="12"/>
              </w:rPr>
            </w:pPr>
            <w:r>
              <w:rPr>
                <w:color w:val="000000"/>
                <w:sz w:val="12"/>
              </w:rPr>
              <w:t>Stopnja sofinanciranja (h) = (a)/(g)</w:t>
            </w:r>
          </w:p>
        </w:tc>
      </w:tr>
      <w:tr w:rsidR="00DE13D3" w14:paraId="68B64A47"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07EA15"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ABF170"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5A05F2"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2C77D"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CBF78D"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E4C0DB" w14:textId="77777777" w:rsidR="00A77B3E" w:rsidRDefault="00A77B3E">
            <w:pPr>
              <w:spacing w:before="100"/>
              <w:jc w:val="center"/>
              <w:rPr>
                <w:color w:val="000000"/>
                <w:sz w:val="12"/>
              </w:rPr>
            </w:pP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C742DC" w14:textId="77777777" w:rsidR="00A77B3E" w:rsidRDefault="005A111E">
            <w:pPr>
              <w:spacing w:before="100"/>
              <w:jc w:val="center"/>
              <w:rPr>
                <w:color w:val="000000"/>
                <w:sz w:val="12"/>
              </w:rPr>
            </w:pPr>
            <w:r>
              <w:rPr>
                <w:color w:val="000000"/>
                <w:sz w:val="12"/>
              </w:rPr>
              <w:t>Prispevek Unije</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CDFB1" w14:textId="77777777" w:rsidR="00A77B3E" w:rsidRDefault="005A111E">
            <w:pPr>
              <w:spacing w:before="100"/>
              <w:jc w:val="center"/>
              <w:rPr>
                <w:color w:val="000000"/>
                <w:sz w:val="12"/>
              </w:rPr>
            </w:pPr>
            <w:r>
              <w:rPr>
                <w:color w:val="000000"/>
                <w:sz w:val="12"/>
              </w:rPr>
              <w:t>Znesek prožnosti</w:t>
            </w: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FE6730" w14:textId="77777777" w:rsidR="00A77B3E" w:rsidRDefault="00A77B3E">
            <w:pPr>
              <w:spacing w:before="100"/>
              <w:jc w:val="center"/>
              <w:rPr>
                <w:color w:val="000000"/>
                <w:sz w:val="12"/>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966C4" w14:textId="77777777" w:rsidR="00A77B3E" w:rsidRDefault="005A111E">
            <w:pPr>
              <w:spacing w:before="100"/>
              <w:jc w:val="center"/>
              <w:rPr>
                <w:color w:val="000000"/>
                <w:sz w:val="12"/>
              </w:rPr>
            </w:pPr>
            <w:r>
              <w:rPr>
                <w:color w:val="000000"/>
                <w:sz w:val="12"/>
              </w:rPr>
              <w:t>Javno (e)</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784E3C" w14:textId="77777777" w:rsidR="00A77B3E" w:rsidRDefault="005A111E">
            <w:pPr>
              <w:spacing w:before="100"/>
              <w:jc w:val="center"/>
              <w:rPr>
                <w:color w:val="000000"/>
                <w:sz w:val="12"/>
              </w:rPr>
            </w:pPr>
            <w:r>
              <w:rPr>
                <w:color w:val="000000"/>
                <w:sz w:val="12"/>
              </w:rPr>
              <w:t>Zasebno (f)</w:t>
            </w: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5E3641"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542903" w14:textId="77777777" w:rsidR="00A77B3E" w:rsidRDefault="00A77B3E">
            <w:pPr>
              <w:spacing w:before="100"/>
              <w:jc w:val="center"/>
              <w:rPr>
                <w:color w:val="000000"/>
                <w:sz w:val="12"/>
              </w:rPr>
            </w:pPr>
          </w:p>
        </w:tc>
      </w:tr>
      <w:tr w:rsidR="00DE13D3" w14:paraId="06328DC8"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4C7F1A"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B4E534"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9F726"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1B3F00"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CC6CD"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73A494" w14:textId="77777777"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7D9025" w14:textId="77777777" w:rsidR="00A77B3E" w:rsidRDefault="005A111E">
            <w:pPr>
              <w:spacing w:before="100"/>
              <w:jc w:val="center"/>
              <w:rPr>
                <w:color w:val="000000"/>
                <w:sz w:val="12"/>
              </w:rPr>
            </w:pPr>
            <w:r>
              <w:rPr>
                <w:color w:val="000000"/>
                <w:sz w:val="12"/>
              </w:rPr>
              <w:t>brez tehnične pomoči v skladu s členom 36(5)(b)</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0F8EC5" w14:textId="77777777" w:rsidR="00A77B3E" w:rsidRDefault="005A111E">
            <w:pPr>
              <w:spacing w:before="100"/>
              <w:jc w:val="center"/>
              <w:rPr>
                <w:color w:val="000000"/>
                <w:sz w:val="12"/>
              </w:rPr>
            </w:pPr>
            <w:r>
              <w:rPr>
                <w:color w:val="000000"/>
                <w:sz w:val="12"/>
              </w:rPr>
              <w:t>za tehnično pomoč v skladu s členom 36(5)(c)</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E4DF4D" w14:textId="77777777" w:rsidR="00A77B3E" w:rsidRDefault="005A111E">
            <w:pPr>
              <w:spacing w:before="100"/>
              <w:jc w:val="center"/>
              <w:rPr>
                <w:color w:val="000000"/>
                <w:sz w:val="12"/>
              </w:rPr>
            </w:pPr>
            <w:r>
              <w:rPr>
                <w:color w:val="000000"/>
                <w:sz w:val="12"/>
              </w:rPr>
              <w:t>brez tehnične pomoči v skladu s členom 36(5)(i)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576E9B" w14:textId="77777777" w:rsidR="00A77B3E" w:rsidRDefault="005A111E">
            <w:pPr>
              <w:spacing w:before="100"/>
              <w:jc w:val="center"/>
              <w:rPr>
                <w:color w:val="000000"/>
                <w:sz w:val="12"/>
              </w:rPr>
            </w:pPr>
            <w:r>
              <w:rPr>
                <w:color w:val="000000"/>
                <w:sz w:val="12"/>
              </w:rPr>
              <w:t>za tehnično pomoč v skladu s členom 36(5)(j)</w:t>
            </w: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3AFDCA"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26DAD0"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A552C0"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647B45"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9F902" w14:textId="77777777" w:rsidR="00A77B3E" w:rsidRDefault="00A77B3E">
            <w:pPr>
              <w:spacing w:before="100"/>
              <w:jc w:val="center"/>
              <w:rPr>
                <w:color w:val="000000"/>
                <w:sz w:val="12"/>
              </w:rPr>
            </w:pPr>
          </w:p>
        </w:tc>
      </w:tr>
      <w:tr w:rsidR="00DE13D3" w14:paraId="2AAA2E57"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5F324" w14:textId="77777777" w:rsidR="00A77B3E" w:rsidRDefault="005A111E">
            <w:pPr>
              <w:spacing w:before="100"/>
              <w:rPr>
                <w:color w:val="000000"/>
                <w:sz w:val="12"/>
              </w:rPr>
            </w:pPr>
            <w:r>
              <w:rPr>
                <w:color w:val="000000"/>
                <w:sz w:val="12"/>
              </w:rPr>
              <w:t>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DA2D7" w14:textId="77777777" w:rsidR="00A77B3E" w:rsidRDefault="005A111E">
            <w:pPr>
              <w:spacing w:before="100"/>
              <w:rPr>
                <w:color w:val="000000"/>
                <w:sz w:val="12"/>
              </w:rPr>
            </w:pPr>
            <w:r>
              <w:rPr>
                <w:color w:val="000000"/>
                <w:sz w:val="12"/>
              </w:rPr>
              <w:t>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CE820" w14:textId="77777777" w:rsidR="00A77B3E" w:rsidRDefault="005A111E">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1DB2F" w14:textId="77777777" w:rsidR="00A77B3E" w:rsidRDefault="005A111E">
            <w:pPr>
              <w:spacing w:before="100"/>
              <w:rPr>
                <w:color w:val="000000"/>
                <w:sz w:val="12"/>
              </w:rPr>
            </w:pPr>
            <w:r>
              <w:rPr>
                <w:color w:val="000000"/>
                <w:sz w:val="12"/>
              </w:rPr>
              <w:t>ESS+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25F75" w14:textId="77777777" w:rsidR="00A77B3E" w:rsidRDefault="005A111E">
            <w:pPr>
              <w:spacing w:before="100"/>
              <w:rPr>
                <w:color w:val="000000"/>
                <w:sz w:val="12"/>
              </w:rPr>
            </w:pPr>
            <w:r>
              <w:rPr>
                <w:color w:val="000000"/>
                <w:sz w:val="12"/>
              </w:rPr>
              <w:t>Bolj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4ECFC" w14:textId="77777777" w:rsidR="00A77B3E" w:rsidRDefault="005A111E">
            <w:pPr>
              <w:spacing w:before="100"/>
              <w:jc w:val="right"/>
              <w:rPr>
                <w:color w:val="000000"/>
                <w:sz w:val="12"/>
              </w:rPr>
            </w:pPr>
            <w:r>
              <w:rPr>
                <w:color w:val="000000"/>
                <w:sz w:val="12"/>
              </w:rPr>
              <w:t>11.760.000,00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46574" w14:textId="77777777" w:rsidR="00A77B3E" w:rsidRDefault="005A111E">
            <w:pPr>
              <w:spacing w:before="100"/>
              <w:jc w:val="right"/>
              <w:rPr>
                <w:color w:val="000000"/>
                <w:sz w:val="12"/>
              </w:rPr>
            </w:pPr>
            <w:r>
              <w:rPr>
                <w:color w:val="000000"/>
                <w:sz w:val="12"/>
              </w:rPr>
              <w:t>9.338.000,00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4C7D1" w14:textId="77777777" w:rsidR="00A77B3E" w:rsidRDefault="005A111E">
            <w:pPr>
              <w:spacing w:before="100"/>
              <w:jc w:val="right"/>
              <w:rPr>
                <w:color w:val="000000"/>
                <w:sz w:val="12"/>
              </w:rPr>
            </w:pPr>
            <w:r>
              <w:rPr>
                <w:color w:val="000000"/>
                <w:sz w:val="12"/>
              </w:rPr>
              <w:t>462.000,00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26B01" w14:textId="77777777" w:rsidR="00A77B3E" w:rsidRDefault="005A111E">
            <w:pPr>
              <w:spacing w:before="100"/>
              <w:jc w:val="right"/>
              <w:rPr>
                <w:color w:val="000000"/>
                <w:sz w:val="12"/>
              </w:rPr>
            </w:pPr>
            <w:r>
              <w:rPr>
                <w:color w:val="000000"/>
                <w:sz w:val="12"/>
              </w:rPr>
              <w:t>1.862.000,00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FC32E" w14:textId="77777777" w:rsidR="00A77B3E" w:rsidRDefault="005A111E">
            <w:pPr>
              <w:spacing w:before="100"/>
              <w:jc w:val="right"/>
              <w:rPr>
                <w:color w:val="000000"/>
                <w:sz w:val="12"/>
              </w:rPr>
            </w:pPr>
            <w:r>
              <w:rPr>
                <w:color w:val="000000"/>
                <w:sz w:val="12"/>
              </w:rPr>
              <w:t>98.000,00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F8FEF" w14:textId="77777777" w:rsidR="00A77B3E" w:rsidRDefault="005A111E">
            <w:pPr>
              <w:spacing w:before="100"/>
              <w:jc w:val="right"/>
              <w:rPr>
                <w:color w:val="000000"/>
                <w:sz w:val="12"/>
              </w:rPr>
            </w:pPr>
            <w:r>
              <w:rPr>
                <w:color w:val="000000"/>
                <w:sz w:val="12"/>
              </w:rPr>
              <w:t>1.306.667,00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17D97" w14:textId="77777777" w:rsidR="00A77B3E" w:rsidRDefault="005A111E">
            <w:pPr>
              <w:spacing w:before="100"/>
              <w:jc w:val="right"/>
              <w:rPr>
                <w:color w:val="000000"/>
                <w:sz w:val="12"/>
              </w:rPr>
            </w:pPr>
            <w:r>
              <w:rPr>
                <w:color w:val="000000"/>
                <w:sz w:val="12"/>
              </w:rPr>
              <w:t>1.306.667,00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C0BC8" w14:textId="77777777" w:rsidR="00A77B3E" w:rsidRDefault="005A111E">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CD04C" w14:textId="77777777" w:rsidR="00A77B3E" w:rsidRDefault="005A111E">
            <w:pPr>
              <w:spacing w:before="100"/>
              <w:jc w:val="right"/>
              <w:rPr>
                <w:color w:val="000000"/>
                <w:sz w:val="12"/>
              </w:rPr>
            </w:pPr>
            <w:r>
              <w:rPr>
                <w:color w:val="000000"/>
                <w:sz w:val="12"/>
              </w:rPr>
              <w:t>13.066.667,00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FC8E1" w14:textId="77777777" w:rsidR="00A77B3E" w:rsidRDefault="005A111E">
            <w:pPr>
              <w:spacing w:before="100"/>
              <w:jc w:val="right"/>
              <w:rPr>
                <w:color w:val="000000"/>
                <w:sz w:val="12"/>
              </w:rPr>
            </w:pPr>
            <w:r>
              <w:rPr>
                <w:color w:val="000000"/>
                <w:sz w:val="12"/>
              </w:rPr>
              <w:t>89,9999977041%</w:t>
            </w:r>
          </w:p>
        </w:tc>
      </w:tr>
      <w:tr w:rsidR="00DE13D3" w14:paraId="6BC52656"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087D6" w14:textId="77777777" w:rsidR="00A77B3E" w:rsidRDefault="005A111E">
            <w:pPr>
              <w:spacing w:before="100"/>
              <w:rPr>
                <w:color w:val="000000"/>
                <w:sz w:val="12"/>
              </w:rPr>
            </w:pPr>
            <w:r>
              <w:rPr>
                <w:color w:val="000000"/>
                <w:sz w:val="12"/>
              </w:rPr>
              <w:t>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7FA7A" w14:textId="77777777" w:rsidR="00A77B3E" w:rsidRDefault="005A111E">
            <w:pPr>
              <w:spacing w:before="100"/>
              <w:rPr>
                <w:color w:val="000000"/>
                <w:sz w:val="12"/>
              </w:rPr>
            </w:pPr>
            <w:r>
              <w:rPr>
                <w:color w:val="000000"/>
                <w:sz w:val="12"/>
              </w:rPr>
              <w:t>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0FD14" w14:textId="77777777" w:rsidR="00A77B3E" w:rsidRDefault="005A111E">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9AB2D" w14:textId="77777777" w:rsidR="00A77B3E" w:rsidRDefault="005A111E">
            <w:pPr>
              <w:spacing w:before="100"/>
              <w:rPr>
                <w:color w:val="000000"/>
                <w:sz w:val="12"/>
              </w:rPr>
            </w:pPr>
            <w:r>
              <w:rPr>
                <w:color w:val="000000"/>
                <w:sz w:val="12"/>
              </w:rPr>
              <w:t>ESS+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8BF0E" w14:textId="77777777" w:rsidR="00A77B3E" w:rsidRDefault="005A111E">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65087" w14:textId="77777777" w:rsidR="00A77B3E" w:rsidRDefault="005A111E">
            <w:pPr>
              <w:spacing w:before="100"/>
              <w:jc w:val="right"/>
              <w:rPr>
                <w:color w:val="000000"/>
                <w:sz w:val="12"/>
              </w:rPr>
            </w:pPr>
            <w:r>
              <w:rPr>
                <w:color w:val="000000"/>
                <w:sz w:val="12"/>
              </w:rPr>
              <w:t>17.640.000,00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C4014" w14:textId="77777777" w:rsidR="00A77B3E" w:rsidRDefault="005A111E">
            <w:pPr>
              <w:spacing w:before="100"/>
              <w:jc w:val="right"/>
              <w:rPr>
                <w:color w:val="000000"/>
                <w:sz w:val="12"/>
              </w:rPr>
            </w:pPr>
            <w:r>
              <w:rPr>
                <w:color w:val="000000"/>
                <w:sz w:val="12"/>
              </w:rPr>
              <w:t>14.007.000,00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334D5" w14:textId="77777777" w:rsidR="00A77B3E" w:rsidRDefault="005A111E">
            <w:pPr>
              <w:spacing w:before="100"/>
              <w:jc w:val="right"/>
              <w:rPr>
                <w:color w:val="000000"/>
                <w:sz w:val="12"/>
              </w:rPr>
            </w:pPr>
            <w:r>
              <w:rPr>
                <w:color w:val="000000"/>
                <w:sz w:val="12"/>
              </w:rPr>
              <w:t>693.000,00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E82A2" w14:textId="77777777" w:rsidR="00A77B3E" w:rsidRDefault="005A111E">
            <w:pPr>
              <w:spacing w:before="100"/>
              <w:jc w:val="right"/>
              <w:rPr>
                <w:color w:val="000000"/>
                <w:sz w:val="12"/>
              </w:rPr>
            </w:pPr>
            <w:r>
              <w:rPr>
                <w:color w:val="000000"/>
                <w:sz w:val="12"/>
              </w:rPr>
              <w:t>2.793.000,00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63D9E" w14:textId="77777777" w:rsidR="00A77B3E" w:rsidRDefault="005A111E">
            <w:pPr>
              <w:spacing w:before="100"/>
              <w:jc w:val="right"/>
              <w:rPr>
                <w:color w:val="000000"/>
                <w:sz w:val="12"/>
              </w:rPr>
            </w:pPr>
            <w:r>
              <w:rPr>
                <w:color w:val="000000"/>
                <w:sz w:val="12"/>
              </w:rPr>
              <w:t>147.000,00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6BC27" w14:textId="77777777" w:rsidR="00A77B3E" w:rsidRDefault="005A111E">
            <w:pPr>
              <w:spacing w:before="100"/>
              <w:jc w:val="right"/>
              <w:rPr>
                <w:color w:val="000000"/>
                <w:sz w:val="12"/>
              </w:rPr>
            </w:pPr>
            <w:r>
              <w:rPr>
                <w:color w:val="000000"/>
                <w:sz w:val="12"/>
              </w:rPr>
              <w:t>1.960.000,00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CF16C" w14:textId="77777777" w:rsidR="00A77B3E" w:rsidRDefault="005A111E">
            <w:pPr>
              <w:spacing w:before="100"/>
              <w:jc w:val="right"/>
              <w:rPr>
                <w:color w:val="000000"/>
                <w:sz w:val="12"/>
              </w:rPr>
            </w:pPr>
            <w:r>
              <w:rPr>
                <w:color w:val="000000"/>
                <w:sz w:val="12"/>
              </w:rPr>
              <w:t>1.960.000,00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67A21" w14:textId="77777777" w:rsidR="00A77B3E" w:rsidRDefault="005A111E">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7F8D0" w14:textId="77777777" w:rsidR="00A77B3E" w:rsidRDefault="005A111E">
            <w:pPr>
              <w:spacing w:before="100"/>
              <w:jc w:val="right"/>
              <w:rPr>
                <w:color w:val="000000"/>
                <w:sz w:val="12"/>
              </w:rPr>
            </w:pPr>
            <w:r>
              <w:rPr>
                <w:color w:val="000000"/>
                <w:sz w:val="12"/>
              </w:rPr>
              <w:t>19.600.000,00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11F94" w14:textId="77777777" w:rsidR="00A77B3E" w:rsidRDefault="005A111E">
            <w:pPr>
              <w:spacing w:before="100"/>
              <w:jc w:val="right"/>
              <w:rPr>
                <w:color w:val="000000"/>
                <w:sz w:val="12"/>
              </w:rPr>
            </w:pPr>
            <w:r>
              <w:rPr>
                <w:color w:val="000000"/>
                <w:sz w:val="12"/>
              </w:rPr>
              <w:t>90,0000000000%</w:t>
            </w:r>
          </w:p>
        </w:tc>
      </w:tr>
      <w:tr w:rsidR="00DE13D3" w14:paraId="35ED475D"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CAC94" w14:textId="77777777" w:rsidR="00A77B3E" w:rsidRDefault="005A111E">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55CA4" w14:textId="77777777"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FE63C" w14:textId="77777777"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0396D" w14:textId="77777777" w:rsidR="00A77B3E" w:rsidRDefault="005A111E">
            <w:pPr>
              <w:spacing w:before="100"/>
              <w:rPr>
                <w:color w:val="000000"/>
                <w:sz w:val="12"/>
              </w:rPr>
            </w:pPr>
            <w:r>
              <w:rPr>
                <w:color w:val="000000"/>
                <w:sz w:val="12"/>
              </w:rPr>
              <w:t>ESS+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7FC31" w14:textId="77777777" w:rsidR="00A77B3E" w:rsidRDefault="005A111E">
            <w:pPr>
              <w:spacing w:before="100"/>
              <w:rPr>
                <w:color w:val="000000"/>
                <w:sz w:val="12"/>
              </w:rPr>
            </w:pPr>
            <w:r>
              <w:rPr>
                <w:color w:val="000000"/>
                <w:sz w:val="12"/>
              </w:rPr>
              <w:t>Bolj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2A55E" w14:textId="77777777" w:rsidR="00A77B3E" w:rsidRDefault="005A111E">
            <w:pPr>
              <w:spacing w:before="100"/>
              <w:jc w:val="right"/>
              <w:rPr>
                <w:color w:val="000000"/>
                <w:sz w:val="12"/>
              </w:rPr>
            </w:pPr>
            <w:r>
              <w:rPr>
                <w:color w:val="000000"/>
                <w:sz w:val="12"/>
              </w:rPr>
              <w:t>11.760.000,00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EB826" w14:textId="77777777" w:rsidR="00A77B3E" w:rsidRDefault="005A111E">
            <w:pPr>
              <w:spacing w:before="100"/>
              <w:jc w:val="right"/>
              <w:rPr>
                <w:color w:val="000000"/>
                <w:sz w:val="12"/>
              </w:rPr>
            </w:pPr>
            <w:r>
              <w:rPr>
                <w:color w:val="000000"/>
                <w:sz w:val="12"/>
              </w:rPr>
              <w:t>9.338.000,00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B8211" w14:textId="77777777" w:rsidR="00A77B3E" w:rsidRDefault="005A111E">
            <w:pPr>
              <w:spacing w:before="100"/>
              <w:jc w:val="right"/>
              <w:rPr>
                <w:color w:val="000000"/>
                <w:sz w:val="12"/>
              </w:rPr>
            </w:pPr>
            <w:r>
              <w:rPr>
                <w:color w:val="000000"/>
                <w:sz w:val="12"/>
              </w:rPr>
              <w:t>462.000,00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98E1B" w14:textId="77777777" w:rsidR="00A77B3E" w:rsidRDefault="005A111E">
            <w:pPr>
              <w:spacing w:before="100"/>
              <w:jc w:val="right"/>
              <w:rPr>
                <w:color w:val="000000"/>
                <w:sz w:val="12"/>
              </w:rPr>
            </w:pPr>
            <w:r>
              <w:rPr>
                <w:color w:val="000000"/>
                <w:sz w:val="12"/>
              </w:rPr>
              <w:t>1.862.000,00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D8A0A" w14:textId="77777777" w:rsidR="00A77B3E" w:rsidRDefault="005A111E">
            <w:pPr>
              <w:spacing w:before="100"/>
              <w:jc w:val="right"/>
              <w:rPr>
                <w:color w:val="000000"/>
                <w:sz w:val="12"/>
              </w:rPr>
            </w:pPr>
            <w:r>
              <w:rPr>
                <w:color w:val="000000"/>
                <w:sz w:val="12"/>
              </w:rPr>
              <w:t>98.000,00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54826" w14:textId="77777777" w:rsidR="00A77B3E" w:rsidRDefault="005A111E">
            <w:pPr>
              <w:spacing w:before="100"/>
              <w:jc w:val="right"/>
              <w:rPr>
                <w:color w:val="000000"/>
                <w:sz w:val="12"/>
              </w:rPr>
            </w:pPr>
            <w:r>
              <w:rPr>
                <w:color w:val="000000"/>
                <w:sz w:val="12"/>
              </w:rPr>
              <w:t>1.306.667,00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D9B38" w14:textId="77777777" w:rsidR="00A77B3E" w:rsidRDefault="005A111E">
            <w:pPr>
              <w:spacing w:before="100"/>
              <w:jc w:val="right"/>
              <w:rPr>
                <w:color w:val="000000"/>
                <w:sz w:val="12"/>
              </w:rPr>
            </w:pPr>
            <w:r>
              <w:rPr>
                <w:color w:val="000000"/>
                <w:sz w:val="12"/>
              </w:rPr>
              <w:t>1.306.667,00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893C7" w14:textId="77777777" w:rsidR="00A77B3E" w:rsidRDefault="005A111E">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A0A5D" w14:textId="77777777" w:rsidR="00A77B3E" w:rsidRDefault="005A111E">
            <w:pPr>
              <w:spacing w:before="100"/>
              <w:jc w:val="right"/>
              <w:rPr>
                <w:color w:val="000000"/>
                <w:sz w:val="12"/>
              </w:rPr>
            </w:pPr>
            <w:r>
              <w:rPr>
                <w:color w:val="000000"/>
                <w:sz w:val="12"/>
              </w:rPr>
              <w:t>13.066.667,00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C8027" w14:textId="77777777" w:rsidR="00A77B3E" w:rsidRDefault="005A111E">
            <w:pPr>
              <w:spacing w:before="100"/>
              <w:jc w:val="right"/>
              <w:rPr>
                <w:color w:val="000000"/>
                <w:sz w:val="12"/>
              </w:rPr>
            </w:pPr>
            <w:r>
              <w:rPr>
                <w:color w:val="000000"/>
                <w:sz w:val="12"/>
              </w:rPr>
              <w:t>89,9999977041%</w:t>
            </w:r>
          </w:p>
        </w:tc>
      </w:tr>
      <w:tr w:rsidR="00DE13D3" w14:paraId="0B58FCC1"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7838A" w14:textId="77777777" w:rsidR="00A77B3E" w:rsidRDefault="005A111E">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E2D48" w14:textId="77777777"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C0F94" w14:textId="77777777"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E743C" w14:textId="77777777" w:rsidR="00A77B3E" w:rsidRDefault="005A111E">
            <w:pPr>
              <w:spacing w:before="100"/>
              <w:rPr>
                <w:color w:val="000000"/>
                <w:sz w:val="12"/>
              </w:rPr>
            </w:pPr>
            <w:r>
              <w:rPr>
                <w:color w:val="000000"/>
                <w:sz w:val="12"/>
              </w:rPr>
              <w:t>ESS+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E08F8" w14:textId="77777777" w:rsidR="00A77B3E" w:rsidRDefault="005A111E">
            <w:pPr>
              <w:spacing w:before="100"/>
              <w:rPr>
                <w:color w:val="000000"/>
                <w:sz w:val="12"/>
              </w:rPr>
            </w:pPr>
            <w:r>
              <w:rPr>
                <w:color w:val="000000"/>
                <w:sz w:val="12"/>
              </w:rPr>
              <w:t>Manj razvite regije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B16DE" w14:textId="77777777" w:rsidR="00A77B3E" w:rsidRDefault="005A111E">
            <w:pPr>
              <w:spacing w:before="100"/>
              <w:jc w:val="right"/>
              <w:rPr>
                <w:color w:val="000000"/>
                <w:sz w:val="12"/>
              </w:rPr>
            </w:pPr>
            <w:r>
              <w:rPr>
                <w:color w:val="000000"/>
                <w:sz w:val="12"/>
              </w:rPr>
              <w:t>17.640.000,00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91764" w14:textId="77777777" w:rsidR="00A77B3E" w:rsidRDefault="005A111E">
            <w:pPr>
              <w:spacing w:before="100"/>
              <w:jc w:val="right"/>
              <w:rPr>
                <w:color w:val="000000"/>
                <w:sz w:val="12"/>
              </w:rPr>
            </w:pPr>
            <w:r>
              <w:rPr>
                <w:color w:val="000000"/>
                <w:sz w:val="12"/>
              </w:rPr>
              <w:t>14.007.000,00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341E0" w14:textId="77777777" w:rsidR="00A77B3E" w:rsidRDefault="005A111E">
            <w:pPr>
              <w:spacing w:before="100"/>
              <w:jc w:val="right"/>
              <w:rPr>
                <w:color w:val="000000"/>
                <w:sz w:val="12"/>
              </w:rPr>
            </w:pPr>
            <w:r>
              <w:rPr>
                <w:color w:val="000000"/>
                <w:sz w:val="12"/>
              </w:rPr>
              <w:t>693.000,00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31374" w14:textId="77777777" w:rsidR="00A77B3E" w:rsidRDefault="005A111E">
            <w:pPr>
              <w:spacing w:before="100"/>
              <w:jc w:val="right"/>
              <w:rPr>
                <w:color w:val="000000"/>
                <w:sz w:val="12"/>
              </w:rPr>
            </w:pPr>
            <w:r>
              <w:rPr>
                <w:color w:val="000000"/>
                <w:sz w:val="12"/>
              </w:rPr>
              <w:t>2.793.000,00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E2440" w14:textId="77777777" w:rsidR="00A77B3E" w:rsidRDefault="005A111E">
            <w:pPr>
              <w:spacing w:before="100"/>
              <w:jc w:val="right"/>
              <w:rPr>
                <w:color w:val="000000"/>
                <w:sz w:val="12"/>
              </w:rPr>
            </w:pPr>
            <w:r>
              <w:rPr>
                <w:color w:val="000000"/>
                <w:sz w:val="12"/>
              </w:rPr>
              <w:t>147.000,00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1A6A8" w14:textId="77777777" w:rsidR="00A77B3E" w:rsidRDefault="005A111E">
            <w:pPr>
              <w:spacing w:before="100"/>
              <w:jc w:val="right"/>
              <w:rPr>
                <w:color w:val="000000"/>
                <w:sz w:val="12"/>
              </w:rPr>
            </w:pPr>
            <w:r>
              <w:rPr>
                <w:color w:val="000000"/>
                <w:sz w:val="12"/>
              </w:rPr>
              <w:t>1.960.000,00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35B2B" w14:textId="77777777" w:rsidR="00A77B3E" w:rsidRDefault="005A111E">
            <w:pPr>
              <w:spacing w:before="100"/>
              <w:jc w:val="right"/>
              <w:rPr>
                <w:color w:val="000000"/>
                <w:sz w:val="12"/>
              </w:rPr>
            </w:pPr>
            <w:r>
              <w:rPr>
                <w:color w:val="000000"/>
                <w:sz w:val="12"/>
              </w:rPr>
              <w:t>1.960.000,00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D35D3" w14:textId="77777777" w:rsidR="00A77B3E" w:rsidRDefault="005A111E">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691C8" w14:textId="77777777" w:rsidR="00A77B3E" w:rsidRDefault="005A111E">
            <w:pPr>
              <w:spacing w:before="100"/>
              <w:jc w:val="right"/>
              <w:rPr>
                <w:color w:val="000000"/>
                <w:sz w:val="12"/>
              </w:rPr>
            </w:pPr>
            <w:r>
              <w:rPr>
                <w:color w:val="000000"/>
                <w:sz w:val="12"/>
              </w:rPr>
              <w:t>19.600.000,00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36CFE" w14:textId="77777777" w:rsidR="00A77B3E" w:rsidRDefault="005A111E">
            <w:pPr>
              <w:spacing w:before="100"/>
              <w:jc w:val="right"/>
              <w:rPr>
                <w:color w:val="000000"/>
                <w:sz w:val="12"/>
              </w:rPr>
            </w:pPr>
            <w:r>
              <w:rPr>
                <w:color w:val="000000"/>
                <w:sz w:val="12"/>
              </w:rPr>
              <w:t>90,0000000000%</w:t>
            </w:r>
          </w:p>
        </w:tc>
      </w:tr>
      <w:tr w:rsidR="00DE13D3" w14:paraId="652A6B66"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53F98" w14:textId="77777777" w:rsidR="00A77B3E" w:rsidRDefault="005A111E">
            <w:pPr>
              <w:spacing w:before="100"/>
              <w:rPr>
                <w:color w:val="000000"/>
                <w:sz w:val="12"/>
              </w:rPr>
            </w:pPr>
            <w:r>
              <w:rPr>
                <w:color w:val="000000"/>
                <w:sz w:val="12"/>
              </w:rPr>
              <w:t>Skupaj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58EFF" w14:textId="77777777"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BB250" w14:textId="77777777"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49390" w14:textId="77777777"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DAF63" w14:textId="77777777" w:rsidR="00A77B3E" w:rsidRDefault="00A77B3E">
            <w:pPr>
              <w:spacing w:before="100"/>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E4C06" w14:textId="77777777" w:rsidR="00A77B3E" w:rsidRDefault="005A111E">
            <w:pPr>
              <w:spacing w:before="100"/>
              <w:jc w:val="right"/>
              <w:rPr>
                <w:color w:val="000000"/>
                <w:sz w:val="12"/>
              </w:rPr>
            </w:pPr>
            <w:r>
              <w:rPr>
                <w:color w:val="000000"/>
                <w:sz w:val="12"/>
              </w:rPr>
              <w:t>29.400.000,00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751AE" w14:textId="77777777" w:rsidR="00A77B3E" w:rsidRDefault="005A111E">
            <w:pPr>
              <w:spacing w:before="100"/>
              <w:jc w:val="right"/>
              <w:rPr>
                <w:color w:val="000000"/>
                <w:sz w:val="12"/>
              </w:rPr>
            </w:pPr>
            <w:r>
              <w:rPr>
                <w:color w:val="000000"/>
                <w:sz w:val="12"/>
              </w:rPr>
              <w:t>23.345.000,00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54F56" w14:textId="77777777" w:rsidR="00A77B3E" w:rsidRDefault="005A111E">
            <w:pPr>
              <w:spacing w:before="100"/>
              <w:jc w:val="right"/>
              <w:rPr>
                <w:color w:val="000000"/>
                <w:sz w:val="12"/>
              </w:rPr>
            </w:pPr>
            <w:r>
              <w:rPr>
                <w:color w:val="000000"/>
                <w:sz w:val="12"/>
              </w:rPr>
              <w:t>1.155.000,00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2168E4" w14:textId="77777777" w:rsidR="00A77B3E" w:rsidRDefault="005A111E">
            <w:pPr>
              <w:spacing w:before="100"/>
              <w:jc w:val="right"/>
              <w:rPr>
                <w:color w:val="000000"/>
                <w:sz w:val="12"/>
              </w:rPr>
            </w:pPr>
            <w:r>
              <w:rPr>
                <w:color w:val="000000"/>
                <w:sz w:val="12"/>
              </w:rPr>
              <w:t>4.655.000,00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1B3B7" w14:textId="77777777" w:rsidR="00A77B3E" w:rsidRDefault="005A111E">
            <w:pPr>
              <w:spacing w:before="100"/>
              <w:jc w:val="right"/>
              <w:rPr>
                <w:color w:val="000000"/>
                <w:sz w:val="12"/>
              </w:rPr>
            </w:pPr>
            <w:r>
              <w:rPr>
                <w:color w:val="000000"/>
                <w:sz w:val="12"/>
              </w:rPr>
              <w:t>245.000,00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858DD" w14:textId="77777777" w:rsidR="00A77B3E" w:rsidRDefault="005A111E">
            <w:pPr>
              <w:spacing w:before="100"/>
              <w:jc w:val="right"/>
              <w:rPr>
                <w:color w:val="000000"/>
                <w:sz w:val="12"/>
              </w:rPr>
            </w:pPr>
            <w:r>
              <w:rPr>
                <w:color w:val="000000"/>
                <w:sz w:val="12"/>
              </w:rPr>
              <w:t>3.266.667,00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5C08B" w14:textId="77777777" w:rsidR="00A77B3E" w:rsidRDefault="005A111E">
            <w:pPr>
              <w:spacing w:before="100"/>
              <w:jc w:val="right"/>
              <w:rPr>
                <w:color w:val="000000"/>
                <w:sz w:val="12"/>
              </w:rPr>
            </w:pPr>
            <w:r>
              <w:rPr>
                <w:color w:val="000000"/>
                <w:sz w:val="12"/>
              </w:rPr>
              <w:t>3.266.667,00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87F6B" w14:textId="77777777" w:rsidR="00A77B3E" w:rsidRDefault="005A111E">
            <w:pPr>
              <w:spacing w:before="100"/>
              <w:jc w:val="right"/>
              <w:rPr>
                <w:color w:val="000000"/>
                <w:sz w:val="12"/>
              </w:rPr>
            </w:pPr>
            <w:r>
              <w:rPr>
                <w:color w:val="000000"/>
                <w:sz w:val="12"/>
              </w:rPr>
              <w:t>0,00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D0D81" w14:textId="77777777" w:rsidR="00A77B3E" w:rsidRDefault="005A111E">
            <w:pPr>
              <w:spacing w:before="100"/>
              <w:jc w:val="right"/>
              <w:rPr>
                <w:color w:val="000000"/>
                <w:sz w:val="12"/>
              </w:rPr>
            </w:pPr>
            <w:r>
              <w:rPr>
                <w:color w:val="000000"/>
                <w:sz w:val="12"/>
              </w:rPr>
              <w:t>32.666.667,00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BDB56" w14:textId="77777777" w:rsidR="00A77B3E" w:rsidRDefault="005A111E">
            <w:pPr>
              <w:spacing w:before="100"/>
              <w:jc w:val="right"/>
              <w:rPr>
                <w:color w:val="000000"/>
                <w:sz w:val="12"/>
              </w:rPr>
            </w:pPr>
            <w:r>
              <w:rPr>
                <w:color w:val="000000"/>
                <w:sz w:val="12"/>
              </w:rPr>
              <w:t>89,9999990816%</w:t>
            </w:r>
          </w:p>
        </w:tc>
      </w:tr>
    </w:tbl>
    <w:p w14:paraId="27671D3F" w14:textId="77777777" w:rsidR="00A77B3E" w:rsidRDefault="005A111E">
      <w:pPr>
        <w:spacing w:before="100"/>
        <w:rPr>
          <w:color w:val="000000"/>
          <w:sz w:val="12"/>
        </w:rPr>
      </w:pPr>
      <w:r>
        <w:rPr>
          <w:color w:val="000000"/>
          <w:sz w:val="12"/>
        </w:rPr>
        <w:t>* Za ESRR in ESS+: manj razvite regije, regije v prehodu, bolj razvite regije in, kjer je to ustrezno, posebna dodelitev za najbolj oddaljene in severne redko poseljene regije. Za Kohezijski sklad: ni relevantno. Za tehnično pomoč je uporaba kategorij regij odvisna od izbora sklada.</w:t>
      </w:r>
    </w:p>
    <w:p w14:paraId="39D9B0A9" w14:textId="77777777" w:rsidR="00A77B3E" w:rsidRDefault="005A111E">
      <w:pPr>
        <w:spacing w:before="100"/>
        <w:rPr>
          <w:color w:val="000000"/>
          <w:sz w:val="12"/>
        </w:rPr>
      </w:pPr>
      <w:r>
        <w:rPr>
          <w:color w:val="000000"/>
          <w:sz w:val="12"/>
        </w:rPr>
        <w:t>** Navedite skupna sredstva SPP, vključno z dopolnilno podporo, prerazporejeno iz ESRR in ESS+. Tabela ne vključuje zneskov v skladu s členom 7 uredbe o SPP. V primeru tehnične pomoči, ki se financira iz SPP, bi bilo treba sredstva SPP razdeliti na sredstva, povezana s členoma 3 in 4 uredbe o SPP. Za člen 4 uredbe o SPP ni zneska prilagodljivosti.</w:t>
      </w:r>
    </w:p>
    <w:p w14:paraId="6F5B14C4" w14:textId="77777777" w:rsidR="00A77B3E" w:rsidRDefault="00A77B3E">
      <w:pPr>
        <w:spacing w:before="100"/>
        <w:rPr>
          <w:color w:val="000000"/>
          <w:sz w:val="12"/>
        </w:rPr>
        <w:sectPr w:rsidR="00A77B3E">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864" w:left="936" w:header="288" w:footer="72" w:gutter="0"/>
          <w:cols w:space="720"/>
          <w:noEndnote/>
          <w:docGrid w:linePitch="360"/>
        </w:sectPr>
      </w:pPr>
    </w:p>
    <w:p w14:paraId="14388716" w14:textId="77777777" w:rsidR="00A77B3E" w:rsidRDefault="005A111E">
      <w:pPr>
        <w:pStyle w:val="Naslov1"/>
        <w:spacing w:before="100" w:after="0"/>
        <w:rPr>
          <w:rFonts w:ascii="Times New Roman" w:hAnsi="Times New Roman" w:cs="Times New Roman"/>
          <w:b w:val="0"/>
          <w:color w:val="000000"/>
          <w:sz w:val="24"/>
        </w:rPr>
      </w:pPr>
      <w:bookmarkStart w:id="37" w:name="_Toc256000096"/>
      <w:r>
        <w:rPr>
          <w:rFonts w:ascii="Times New Roman" w:hAnsi="Times New Roman" w:cs="Times New Roman"/>
          <w:b w:val="0"/>
          <w:color w:val="000000"/>
          <w:sz w:val="24"/>
        </w:rPr>
        <w:lastRenderedPageBreak/>
        <w:t>4. Omogočitveni pogoji</w:t>
      </w:r>
      <w:bookmarkEnd w:id="37"/>
    </w:p>
    <w:p w14:paraId="57A30F69" w14:textId="77777777" w:rsidR="00A77B3E" w:rsidRDefault="005A111E">
      <w:pPr>
        <w:spacing w:before="100"/>
        <w:rPr>
          <w:color w:val="000000"/>
          <w:sz w:val="0"/>
        </w:rPr>
      </w:pPr>
      <w:r>
        <w:rPr>
          <w:color w:val="000000"/>
        </w:rPr>
        <w:t>Sklic: člen 22(3)(i) uredbe o skupnih določbah</w:t>
      </w:r>
    </w:p>
    <w:p w14:paraId="259326BB" w14:textId="77777777" w:rsidR="00A77B3E" w:rsidRDefault="005A111E">
      <w:pPr>
        <w:spacing w:before="100"/>
        <w:rPr>
          <w:color w:val="000000"/>
        </w:rPr>
      </w:pPr>
      <w:r>
        <w:rPr>
          <w:color w:val="000000"/>
        </w:rPr>
        <w:t>Tabela 12: Omogočitveni pogoji</w:t>
      </w:r>
    </w:p>
    <w:p w14:paraId="1941A9E1" w14:textId="77777777" w:rsidR="00A77B3E" w:rsidRDefault="00A77B3E">
      <w:pPr>
        <w:spacing w:before="100"/>
        <w:rPr>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600"/>
        <w:gridCol w:w="1000"/>
        <w:gridCol w:w="2800"/>
        <w:gridCol w:w="1000"/>
        <w:gridCol w:w="3400"/>
        <w:gridCol w:w="3400"/>
      </w:tblGrid>
      <w:tr w:rsidR="00DE13D3" w14:paraId="25A75D48"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1EDD55" w14:textId="77777777" w:rsidR="00A77B3E" w:rsidRDefault="005A111E">
            <w:pPr>
              <w:spacing w:before="100"/>
              <w:jc w:val="center"/>
              <w:rPr>
                <w:color w:val="000000"/>
                <w:sz w:val="20"/>
              </w:rPr>
            </w:pPr>
            <w:r>
              <w:rPr>
                <w:color w:val="000000"/>
                <w:sz w:val="20"/>
              </w:rPr>
              <w:t>Omogočitveni pogoj</w:t>
            </w:r>
          </w:p>
        </w:tc>
        <w:tc>
          <w:tcPr>
            <w:tcW w:w="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1DA905" w14:textId="77777777" w:rsidR="00A77B3E" w:rsidRDefault="005A111E">
            <w:pPr>
              <w:spacing w:before="100"/>
              <w:jc w:val="center"/>
              <w:rPr>
                <w:color w:val="000000"/>
                <w:sz w:val="20"/>
              </w:rPr>
            </w:pPr>
            <w:r>
              <w:rPr>
                <w:color w:val="000000"/>
                <w:sz w:val="20"/>
              </w:rPr>
              <w:t>Sklad</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EA05EC" w14:textId="77777777" w:rsidR="00A77B3E" w:rsidRDefault="005A111E">
            <w:pPr>
              <w:spacing w:before="100"/>
              <w:jc w:val="center"/>
              <w:rPr>
                <w:color w:val="000000"/>
                <w:sz w:val="20"/>
              </w:rPr>
            </w:pPr>
            <w:r>
              <w:rPr>
                <w:color w:val="000000"/>
                <w:sz w:val="20"/>
              </w:rPr>
              <w:t>Specifični cilj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F21828" w14:textId="77777777" w:rsidR="00A77B3E" w:rsidRDefault="005A111E">
            <w:pPr>
              <w:spacing w:before="100"/>
              <w:jc w:val="center"/>
              <w:rPr>
                <w:color w:val="000000"/>
                <w:sz w:val="20"/>
              </w:rPr>
            </w:pPr>
            <w:r>
              <w:rPr>
                <w:color w:val="000000"/>
                <w:sz w:val="20"/>
              </w:rPr>
              <w:t>Izpolnjevanje omogočitvenega pogoja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95A640" w14:textId="77777777" w:rsidR="00A77B3E" w:rsidRDefault="005A111E">
            <w:pPr>
              <w:spacing w:before="100"/>
              <w:jc w:val="center"/>
              <w:rPr>
                <w:color w:val="000000"/>
                <w:sz w:val="20"/>
              </w:rPr>
            </w:pPr>
            <w:r>
              <w:rPr>
                <w:color w:val="000000"/>
                <w:sz w:val="20"/>
              </w:rPr>
              <w:t>Merila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17B880" w14:textId="77777777" w:rsidR="00A77B3E" w:rsidRDefault="005A111E">
            <w:pPr>
              <w:spacing w:before="100"/>
              <w:jc w:val="center"/>
              <w:rPr>
                <w:color w:val="000000"/>
                <w:sz w:val="20"/>
              </w:rPr>
            </w:pPr>
            <w:r>
              <w:rPr>
                <w:color w:val="000000"/>
                <w:sz w:val="20"/>
              </w:rPr>
              <w:t>Izpolnjevanje meril</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0DB268" w14:textId="77777777" w:rsidR="00A77B3E" w:rsidRDefault="005A111E">
            <w:pPr>
              <w:spacing w:before="100"/>
              <w:jc w:val="center"/>
              <w:rPr>
                <w:color w:val="000000"/>
                <w:sz w:val="20"/>
              </w:rPr>
            </w:pPr>
            <w:r>
              <w:rPr>
                <w:color w:val="000000"/>
                <w:sz w:val="20"/>
              </w:rPr>
              <w:t>Sklic na zadevne dokumente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822A8E" w14:textId="77777777" w:rsidR="00A77B3E" w:rsidRDefault="005A111E">
            <w:pPr>
              <w:spacing w:before="100"/>
              <w:jc w:val="center"/>
              <w:rPr>
                <w:color w:val="000000"/>
                <w:sz w:val="20"/>
              </w:rPr>
            </w:pPr>
            <w:r>
              <w:rPr>
                <w:color w:val="000000"/>
                <w:sz w:val="20"/>
              </w:rPr>
              <w:t>Utemeljitev</w:t>
            </w:r>
          </w:p>
        </w:tc>
      </w:tr>
      <w:tr w:rsidR="00DE13D3" w14:paraId="49707753"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268E0" w14:textId="77777777" w:rsidR="00A77B3E" w:rsidRDefault="005A111E">
            <w:pPr>
              <w:spacing w:before="100"/>
              <w:rPr>
                <w:color w:val="000000"/>
                <w:sz w:val="20"/>
              </w:rPr>
            </w:pPr>
            <w:r>
              <w:rPr>
                <w:color w:val="000000"/>
                <w:sz w:val="20"/>
              </w:rPr>
              <w:t>1. Učinkoviti mehanizmi spremljanja trga javnih naročil</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E2B6B"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4A41A"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85993" w14:textId="77777777" w:rsidR="00A77B3E" w:rsidRDefault="005A111E">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15E54" w14:textId="77777777" w:rsidR="00A77B3E" w:rsidRDefault="005A111E">
            <w:pPr>
              <w:spacing w:before="100"/>
              <w:rPr>
                <w:color w:val="000000"/>
                <w:sz w:val="20"/>
              </w:rPr>
            </w:pPr>
            <w:r>
              <w:rPr>
                <w:color w:val="000000"/>
                <w:sz w:val="20"/>
              </w:rPr>
              <w:t>Vzpostavljeni so mehanizmi za spremljanje, ki zajemajo vse javne pogodbe in njihova javna naročila v okviru skladov v skladu z zakonodajo Unije o javnih naročilih. Ta zahteva vključuje:1. ureditve za zagotovitev zbiranja učinkovitih in zanesljivih podatkov o postopkih javnega naročanja nad mejnimi vrednostmi Unije v skladu z obveznostmi poročanja iz členov 83 in 84 Direktive 2014/24/EU ter členov 99 in 100 Direktive 2014/25/EU;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C9528" w14:textId="77777777" w:rsidR="00A77B3E" w:rsidRDefault="005A111E">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2F4CD" w14:textId="77777777" w:rsidR="00A77B3E" w:rsidRPr="00DF1E49" w:rsidRDefault="005A111E">
            <w:pPr>
              <w:spacing w:before="100"/>
              <w:rPr>
                <w:color w:val="000000"/>
                <w:sz w:val="20"/>
                <w:lang w:val="it-IT"/>
              </w:rPr>
            </w:pPr>
            <w:r w:rsidRPr="00DF1E49">
              <w:rPr>
                <w:color w:val="000000"/>
                <w:sz w:val="20"/>
                <w:lang w:val="it-IT"/>
              </w:rPr>
              <w:t>Zakon o javnem naročanju (ZJN-3)</w:t>
            </w:r>
          </w:p>
          <w:p w14:paraId="38262B13" w14:textId="77777777" w:rsidR="00A77B3E" w:rsidRPr="00DF1E49" w:rsidRDefault="005A111E">
            <w:pPr>
              <w:spacing w:before="100"/>
              <w:rPr>
                <w:color w:val="000000"/>
                <w:sz w:val="20"/>
                <w:lang w:val="it-IT"/>
              </w:rPr>
            </w:pPr>
            <w:r w:rsidRPr="00DF1E49">
              <w:rPr>
                <w:color w:val="000000"/>
                <w:sz w:val="20"/>
                <w:lang w:val="it-IT"/>
              </w:rPr>
              <w:t>(http://www.pisrs.si/Pis.web/pregledPredpisa?id=ZAKO7086)</w:t>
            </w:r>
          </w:p>
          <w:p w14:paraId="2B4F4023" w14:textId="77777777" w:rsidR="00A77B3E" w:rsidRPr="00DF1E49" w:rsidRDefault="00A77B3E">
            <w:pPr>
              <w:spacing w:before="100"/>
              <w:rPr>
                <w:color w:val="000000"/>
                <w:sz w:val="20"/>
                <w:lang w:val="it-IT"/>
              </w:rPr>
            </w:pPr>
          </w:p>
          <w:p w14:paraId="1A5C3617" w14:textId="77777777" w:rsidR="00A77B3E" w:rsidRPr="00DF1E49" w:rsidRDefault="005A111E">
            <w:pPr>
              <w:spacing w:before="100"/>
              <w:rPr>
                <w:color w:val="000000"/>
                <w:sz w:val="20"/>
                <w:lang w:val="it-IT"/>
              </w:rPr>
            </w:pPr>
            <w:r w:rsidRPr="00DF1E49">
              <w:rPr>
                <w:color w:val="000000"/>
                <w:sz w:val="20"/>
                <w:lang w:val="it-IT"/>
              </w:rPr>
              <w:t>Pravilnik o vrstah in načinu zbiranja podatkov za letno statistično poročilo o oddaji javnih naročil</w:t>
            </w:r>
          </w:p>
          <w:p w14:paraId="5E93CCBF" w14:textId="77777777" w:rsidR="00A77B3E" w:rsidRPr="00DF1E49" w:rsidRDefault="005A111E">
            <w:pPr>
              <w:spacing w:before="100"/>
              <w:rPr>
                <w:color w:val="000000"/>
                <w:sz w:val="20"/>
                <w:lang w:val="it-IT"/>
              </w:rPr>
            </w:pPr>
            <w:r w:rsidRPr="00DF1E49">
              <w:rPr>
                <w:color w:val="000000"/>
                <w:sz w:val="20"/>
                <w:lang w:val="it-IT"/>
              </w:rPr>
              <w:t>(http://www.pisrs.si/Pis.web/pregledPredpisa?id=PRAV12700)</w:t>
            </w:r>
          </w:p>
          <w:p w14:paraId="6722A4A9" w14:textId="77777777" w:rsidR="00A77B3E" w:rsidRPr="00DF1E49" w:rsidRDefault="00A77B3E">
            <w:pPr>
              <w:spacing w:before="100"/>
              <w:rPr>
                <w:color w:val="000000"/>
                <w:sz w:val="20"/>
                <w:lang w:val="it-IT"/>
              </w:rPr>
            </w:pPr>
          </w:p>
          <w:p w14:paraId="3713C91A" w14:textId="77777777" w:rsidR="00A77B3E" w:rsidRPr="00DF1E49" w:rsidRDefault="005A111E">
            <w:pPr>
              <w:spacing w:before="100"/>
              <w:rPr>
                <w:color w:val="000000"/>
                <w:sz w:val="20"/>
                <w:lang w:val="it-IT"/>
              </w:rPr>
            </w:pPr>
            <w:r w:rsidRPr="00DF1E49">
              <w:rPr>
                <w:color w:val="000000"/>
                <w:sz w:val="20"/>
                <w:lang w:val="it-IT"/>
              </w:rPr>
              <w:t xml:space="preserve">Statistična poročila za vsako posamezno leto so dostopna na: </w:t>
            </w:r>
          </w:p>
          <w:p w14:paraId="0D16BEE5" w14:textId="77777777" w:rsidR="00A77B3E" w:rsidRPr="00DF1E49" w:rsidRDefault="005A111E">
            <w:pPr>
              <w:spacing w:before="100"/>
              <w:rPr>
                <w:color w:val="000000"/>
                <w:sz w:val="20"/>
                <w:lang w:val="it-IT"/>
              </w:rPr>
            </w:pPr>
            <w:r w:rsidRPr="00DF1E49">
              <w:rPr>
                <w:color w:val="000000"/>
                <w:sz w:val="20"/>
                <w:lang w:val="it-IT"/>
              </w:rPr>
              <w:t>https://ejn.gov.si/direktorat/porocila-in-analize.html</w:t>
            </w:r>
          </w:p>
          <w:p w14:paraId="3CA5FF81" w14:textId="77777777" w:rsidR="00A77B3E" w:rsidRPr="00DF1E49" w:rsidRDefault="00A77B3E">
            <w:pPr>
              <w:spacing w:before="100"/>
              <w:rPr>
                <w:color w:val="000000"/>
                <w:sz w:val="20"/>
                <w:lang w:val="it-IT"/>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7C710" w14:textId="77777777" w:rsidR="00A77B3E" w:rsidRPr="00DF1E49" w:rsidRDefault="005A111E">
            <w:pPr>
              <w:spacing w:before="100"/>
              <w:rPr>
                <w:color w:val="000000"/>
                <w:sz w:val="20"/>
                <w:lang w:val="it-IT"/>
              </w:rPr>
            </w:pPr>
            <w:r w:rsidRPr="00DF1E49">
              <w:rPr>
                <w:color w:val="000000"/>
                <w:sz w:val="20"/>
                <w:lang w:val="it-IT"/>
              </w:rPr>
              <w:t xml:space="preserve">V skladu s 114. členom ZJN-3 Ministrstvo za javno upravo (MJU) zagotavlja spremljanje uporabe pravil o javnem naročanju. Kadar ugotovi ali prejme podatke, ki kažejo na posamezne kršitve ali sistemske težave obvesti Urad Republike Slovenije za nadzor proračuna, Računsko sodišče Republike Slovenije, Državno revizijsko komisijo, Agencijo Republike Slovenije za varstvo konkurence (AVK) ali Komisijo za preprečevanje korupcije. MJU vsaka tri leta poroča o rezultatih spremljanja Evropski komisiji. </w:t>
            </w:r>
          </w:p>
          <w:p w14:paraId="27AC8A6E" w14:textId="77777777" w:rsidR="00A77B3E" w:rsidRPr="00DF1E49" w:rsidRDefault="00A77B3E">
            <w:pPr>
              <w:spacing w:before="100"/>
              <w:rPr>
                <w:color w:val="000000"/>
                <w:sz w:val="20"/>
                <w:lang w:val="it-IT"/>
              </w:rPr>
            </w:pPr>
          </w:p>
          <w:p w14:paraId="21475ABB" w14:textId="77777777" w:rsidR="00A77B3E" w:rsidRDefault="005A111E">
            <w:pPr>
              <w:spacing w:before="100"/>
              <w:rPr>
                <w:color w:val="000000"/>
                <w:sz w:val="20"/>
              </w:rPr>
            </w:pPr>
            <w:r w:rsidRPr="00DF1E49">
              <w:rPr>
                <w:color w:val="000000"/>
                <w:sz w:val="20"/>
                <w:lang w:val="it-IT"/>
              </w:rPr>
              <w:t xml:space="preserve">V skladu s 106. - 108. členom ZJN-3 MJU pripravi letno statistično poročilo o javnih naročilih, oddanih v Sloveniji na podlagi obvestil o oddanih javnih naročilih v preteklem letu, objavljenih na portalu javnih naročil oziroma v Uradnem listu EU, in iz sporočenih statističnih podatkov o evidenčnih naročilih. </w:t>
            </w:r>
            <w:r>
              <w:rPr>
                <w:color w:val="000000"/>
                <w:sz w:val="20"/>
              </w:rPr>
              <w:t xml:space="preserve">ZJN-3 določa tudi vsebino statističnega poročila in razčlenitev podatkov. </w:t>
            </w:r>
          </w:p>
        </w:tc>
      </w:tr>
      <w:tr w:rsidR="00DE13D3" w14:paraId="7F625D3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E7840"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82BEF"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A2CE5"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90217"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20F57" w14:textId="77777777" w:rsidR="00A77B3E" w:rsidRDefault="005A111E">
            <w:pPr>
              <w:spacing w:before="100"/>
              <w:rPr>
                <w:color w:val="000000"/>
                <w:sz w:val="20"/>
              </w:rPr>
            </w:pPr>
            <w:r>
              <w:rPr>
                <w:color w:val="000000"/>
                <w:sz w:val="20"/>
              </w:rPr>
              <w:t xml:space="preserve">2. ureditve za zagotovitev, da podatki zajemajo vsaj naslednje elemente: </w:t>
            </w:r>
          </w:p>
          <w:p w14:paraId="1A832E10" w14:textId="77777777" w:rsidR="00A77B3E" w:rsidRDefault="005A111E">
            <w:pPr>
              <w:spacing w:before="100"/>
              <w:rPr>
                <w:color w:val="000000"/>
                <w:sz w:val="20"/>
              </w:rPr>
            </w:pPr>
            <w:r>
              <w:rPr>
                <w:color w:val="000000"/>
                <w:sz w:val="20"/>
              </w:rPr>
              <w:lastRenderedPageBreak/>
              <w:t xml:space="preserve">(a) kakovost in intenzivnost konkurence: imena izbranega ponudnika, število prvotnih ponudnikov in pogodbena vrednost, </w:t>
            </w:r>
          </w:p>
          <w:p w14:paraId="358ACACB" w14:textId="77777777" w:rsidR="00A77B3E" w:rsidRDefault="005A111E">
            <w:pPr>
              <w:spacing w:before="100"/>
              <w:rPr>
                <w:color w:val="000000"/>
                <w:sz w:val="20"/>
              </w:rPr>
            </w:pPr>
            <w:r>
              <w:rPr>
                <w:color w:val="000000"/>
                <w:sz w:val="20"/>
              </w:rPr>
              <w:t>(b) informacije o končni ceni po dokončanju in o udeležbi MSP kot neposrednih ponudnikov, kadar nacionalni sistemi zagotavljajo take informacije;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2A351" w14:textId="77777777" w:rsidR="00A77B3E" w:rsidRDefault="005A111E">
            <w:pPr>
              <w:spacing w:before="100"/>
              <w:jc w:val="center"/>
              <w:rPr>
                <w:color w:val="000000"/>
                <w:sz w:val="20"/>
              </w:rPr>
            </w:pPr>
            <w:r>
              <w:rPr>
                <w:color w:val="000000"/>
                <w:sz w:val="20"/>
              </w:rPr>
              <w:lastRenderedPageBreak/>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01E8A" w14:textId="77777777" w:rsidR="00A77B3E" w:rsidRDefault="005A111E">
            <w:pPr>
              <w:spacing w:before="100"/>
              <w:rPr>
                <w:color w:val="000000"/>
                <w:sz w:val="20"/>
              </w:rPr>
            </w:pPr>
            <w:r>
              <w:rPr>
                <w:color w:val="000000"/>
                <w:sz w:val="20"/>
              </w:rPr>
              <w:t>Portal javnih naročil</w:t>
            </w:r>
          </w:p>
          <w:p w14:paraId="5FF04BE1" w14:textId="77777777" w:rsidR="00A77B3E" w:rsidRDefault="005A111E">
            <w:pPr>
              <w:spacing w:before="100"/>
              <w:rPr>
                <w:color w:val="000000"/>
                <w:sz w:val="20"/>
              </w:rPr>
            </w:pPr>
            <w:r>
              <w:rPr>
                <w:color w:val="000000"/>
                <w:sz w:val="20"/>
              </w:rPr>
              <w:t>https://www.enarocanje.si/</w:t>
            </w:r>
          </w:p>
          <w:p w14:paraId="209BD5F9"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C8621" w14:textId="77777777" w:rsidR="00A77B3E" w:rsidRDefault="005A111E">
            <w:pPr>
              <w:spacing w:before="100"/>
              <w:rPr>
                <w:color w:val="000000"/>
                <w:sz w:val="20"/>
              </w:rPr>
            </w:pPr>
            <w:r>
              <w:rPr>
                <w:color w:val="000000"/>
                <w:sz w:val="20"/>
              </w:rPr>
              <w:t xml:space="preserve">Vsi zahtevani podatki so del obvestil o oddaji javnih naročil, ki jih naročniki objavimo na portalu javnih naročil, ki predstavlja enoten dostop do informacij </w:t>
            </w:r>
            <w:r>
              <w:rPr>
                <w:color w:val="000000"/>
                <w:sz w:val="20"/>
              </w:rPr>
              <w:lastRenderedPageBreak/>
              <w:t xml:space="preserve">o javnem naročanju in zagotavlja objavo vseh bistvenih podatkov v zvezi s postopkom oddaje javnega naročila.  </w:t>
            </w:r>
          </w:p>
        </w:tc>
      </w:tr>
      <w:tr w:rsidR="00DE13D3" w:rsidRPr="00DF1E49" w14:paraId="4349F99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E7D16"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1B619"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38F5C"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F91B0"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501E7" w14:textId="77777777" w:rsidR="00A77B3E" w:rsidRDefault="005A111E">
            <w:pPr>
              <w:spacing w:before="100"/>
              <w:rPr>
                <w:color w:val="000000"/>
                <w:sz w:val="20"/>
              </w:rPr>
            </w:pPr>
            <w:r>
              <w:rPr>
                <w:color w:val="000000"/>
                <w:sz w:val="20"/>
              </w:rPr>
              <w:t>3. ureditve za zagotovitev spremljanja in analize podatkov s strani pristojnih nacionalnih organov v skladu s členom 83(2) Direktive 2014/24/EU in členom 99(2) Direktive 2014/25/EU;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6C326" w14:textId="77777777" w:rsidR="00A77B3E" w:rsidRDefault="005A111E">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9668B" w14:textId="77777777" w:rsidR="00A77B3E" w:rsidRPr="00DF1E49" w:rsidRDefault="005A111E">
            <w:pPr>
              <w:spacing w:before="100"/>
              <w:rPr>
                <w:color w:val="000000"/>
                <w:sz w:val="20"/>
                <w:lang w:val="it-IT"/>
              </w:rPr>
            </w:pPr>
            <w:r w:rsidRPr="00DF1E49">
              <w:rPr>
                <w:color w:val="000000"/>
                <w:sz w:val="20"/>
                <w:lang w:val="it-IT"/>
              </w:rPr>
              <w:t>Zakon o javnem naročanju (ZJN-3)</w:t>
            </w:r>
          </w:p>
          <w:p w14:paraId="163F9EE4" w14:textId="77777777" w:rsidR="00A77B3E" w:rsidRPr="00DF1E49" w:rsidRDefault="005A111E">
            <w:pPr>
              <w:spacing w:before="100"/>
              <w:rPr>
                <w:color w:val="000000"/>
                <w:sz w:val="20"/>
                <w:lang w:val="it-IT"/>
              </w:rPr>
            </w:pPr>
            <w:r w:rsidRPr="00DF1E49">
              <w:rPr>
                <w:color w:val="000000"/>
                <w:sz w:val="20"/>
                <w:lang w:val="it-IT"/>
              </w:rPr>
              <w:t>http://www.pisrs.si/Pis.web/pregledPredpisa?id=ZAKO7086</w:t>
            </w:r>
          </w:p>
          <w:p w14:paraId="21BF53BE" w14:textId="77777777" w:rsidR="00A77B3E" w:rsidRPr="00DF1E49" w:rsidRDefault="00A77B3E">
            <w:pPr>
              <w:spacing w:before="100"/>
              <w:rPr>
                <w:color w:val="000000"/>
                <w:sz w:val="20"/>
                <w:lang w:val="it-IT"/>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C5B5E" w14:textId="77777777" w:rsidR="00A77B3E" w:rsidRPr="00DF1E49" w:rsidRDefault="005A111E">
            <w:pPr>
              <w:spacing w:before="100"/>
              <w:rPr>
                <w:color w:val="000000"/>
                <w:sz w:val="20"/>
                <w:lang w:val="it-IT"/>
              </w:rPr>
            </w:pPr>
            <w:r w:rsidRPr="00DF1E49">
              <w:rPr>
                <w:color w:val="000000"/>
                <w:sz w:val="20"/>
                <w:lang w:val="it-IT"/>
              </w:rPr>
              <w:t>V skladu s prvim odstavkom 114. člena ZJN-3 je spremljanje uporabe pravil javnega naročanja v pristojnosti MJU, ki v primeru, ko ugotovi ali prejme podatke, ki kažejo na posamezne kršitve ali sistemske težave, o njih obvesti pristojne nacionalne organe, ki jih ustrezno obravnavajo. Te informacije se zbirajo in po potrebi identificirajo na različne načine, npr. preko letnega statističnega poročanja; različnih vrst iniciativ različnih deležnikov, preko vzpostavljene enotne kontaktne točke za pomoč naročnikom in gospodarskim subjektom, enotnega kontaktnega centra državne uprave za tehnično pomoč, preko telefonskih in pisnih svetovanj, itd.</w:t>
            </w:r>
          </w:p>
        </w:tc>
      </w:tr>
      <w:tr w:rsidR="00DE13D3" w:rsidRPr="00DF1E49" w14:paraId="29399E85"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90AE6" w14:textId="77777777" w:rsidR="00A77B3E" w:rsidRPr="00DF1E49" w:rsidRDefault="00A77B3E">
            <w:pPr>
              <w:spacing w:before="100"/>
              <w:rPr>
                <w:color w:val="000000"/>
                <w:sz w:val="20"/>
                <w:lang w:val="it-IT"/>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3C263" w14:textId="77777777" w:rsidR="00A77B3E" w:rsidRPr="00DF1E49" w:rsidRDefault="00A77B3E">
            <w:pPr>
              <w:spacing w:before="100"/>
              <w:rPr>
                <w:color w:val="000000"/>
                <w:sz w:val="20"/>
                <w:lang w:val="it-I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54FF2" w14:textId="77777777" w:rsidR="00A77B3E" w:rsidRPr="00DF1E49" w:rsidRDefault="00A77B3E">
            <w:pPr>
              <w:spacing w:before="100"/>
              <w:rPr>
                <w:color w:val="000000"/>
                <w:sz w:val="20"/>
                <w:lang w:val="it-IT"/>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8B3AF" w14:textId="77777777" w:rsidR="00A77B3E" w:rsidRPr="00DF1E49" w:rsidRDefault="00A77B3E">
            <w:pPr>
              <w:spacing w:before="100"/>
              <w:rPr>
                <w:color w:val="000000"/>
                <w:sz w:val="20"/>
                <w:lang w:val="it-IT"/>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1FFF7" w14:textId="77777777" w:rsidR="00A77B3E" w:rsidRPr="00DF1E49" w:rsidRDefault="005A111E">
            <w:pPr>
              <w:spacing w:before="100"/>
              <w:rPr>
                <w:color w:val="000000"/>
                <w:sz w:val="20"/>
                <w:lang w:val="it-IT"/>
              </w:rPr>
            </w:pPr>
            <w:r w:rsidRPr="00DF1E49">
              <w:rPr>
                <w:color w:val="000000"/>
                <w:sz w:val="20"/>
                <w:lang w:val="it-IT"/>
              </w:rPr>
              <w:t>4. ureditve za dajanje izidov analize na razpolago javnosti v skladu s členom 83(3) Direktive 2014/24/EU in členom 99(3) Direktive 2014/25/EU;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573D5" w14:textId="77777777" w:rsidR="00A77B3E" w:rsidRDefault="005A111E">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988B3" w14:textId="77777777" w:rsidR="00A77B3E" w:rsidRDefault="005A111E">
            <w:pPr>
              <w:spacing w:before="100"/>
              <w:rPr>
                <w:color w:val="000000"/>
                <w:sz w:val="20"/>
              </w:rPr>
            </w:pPr>
            <w:r>
              <w:rPr>
                <w:color w:val="000000"/>
                <w:sz w:val="20"/>
              </w:rPr>
              <w:t>Slovensko poročilo je skupaj s poročili drugih držav članic na voljo na spletni strani Evropske komisije:</w:t>
            </w:r>
          </w:p>
          <w:p w14:paraId="1D8DF819" w14:textId="77777777" w:rsidR="00A77B3E" w:rsidRDefault="005A111E">
            <w:pPr>
              <w:spacing w:before="100"/>
              <w:rPr>
                <w:color w:val="000000"/>
                <w:sz w:val="20"/>
              </w:rPr>
            </w:pPr>
            <w:r>
              <w:rPr>
                <w:color w:val="000000"/>
                <w:sz w:val="20"/>
              </w:rPr>
              <w:t>https://ec.europa.eu/growth/single-market/public-procurement/country-reports_en</w:t>
            </w:r>
          </w:p>
          <w:p w14:paraId="6A738BFB" w14:textId="77777777" w:rsidR="00A77B3E" w:rsidRDefault="00A77B3E">
            <w:pPr>
              <w:spacing w:before="100"/>
              <w:rPr>
                <w:color w:val="000000"/>
                <w:sz w:val="20"/>
              </w:rPr>
            </w:pPr>
          </w:p>
          <w:p w14:paraId="6DCDFF29" w14:textId="77777777" w:rsidR="00A77B3E" w:rsidRDefault="005A111E">
            <w:pPr>
              <w:spacing w:before="100"/>
              <w:rPr>
                <w:color w:val="000000"/>
                <w:sz w:val="20"/>
              </w:rPr>
            </w:pPr>
            <w:r>
              <w:rPr>
                <w:color w:val="000000"/>
                <w:sz w:val="20"/>
              </w:rPr>
              <w:lastRenderedPageBreak/>
              <w:t>Vsa državna statistična poročila o oddanih javnih naročilih v Republiki Sloveniji, v katerih MJU analizira stanje javnega naročanja za vsako posamezno leto, so dostopna na:</w:t>
            </w:r>
          </w:p>
          <w:p w14:paraId="12C2C614" w14:textId="77777777" w:rsidR="00A77B3E" w:rsidRPr="00DF1E49" w:rsidRDefault="005A111E">
            <w:pPr>
              <w:spacing w:before="100"/>
              <w:rPr>
                <w:color w:val="000000"/>
                <w:sz w:val="20"/>
                <w:lang w:val="it-IT"/>
              </w:rPr>
            </w:pPr>
            <w:r w:rsidRPr="00DF1E49">
              <w:rPr>
                <w:color w:val="000000"/>
                <w:sz w:val="20"/>
                <w:lang w:val="it-IT"/>
              </w:rPr>
              <w:t>https:// ejn.gov.si/direktorat/porocila-in-analize.html</w:t>
            </w:r>
          </w:p>
          <w:p w14:paraId="55359C3F" w14:textId="77777777" w:rsidR="00A77B3E" w:rsidRPr="00DF1E49" w:rsidRDefault="00A77B3E">
            <w:pPr>
              <w:spacing w:before="100"/>
              <w:rPr>
                <w:color w:val="000000"/>
                <w:sz w:val="20"/>
                <w:lang w:val="it-IT"/>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7F275" w14:textId="77777777" w:rsidR="00A77B3E" w:rsidRPr="00DF1E49" w:rsidRDefault="005A111E">
            <w:pPr>
              <w:spacing w:before="100"/>
              <w:rPr>
                <w:color w:val="000000"/>
                <w:sz w:val="20"/>
                <w:lang w:val="it-IT"/>
              </w:rPr>
            </w:pPr>
            <w:r w:rsidRPr="00DF1E49">
              <w:rPr>
                <w:color w:val="000000"/>
                <w:sz w:val="20"/>
                <w:lang w:val="it-IT"/>
              </w:rPr>
              <w:lastRenderedPageBreak/>
              <w:t xml:space="preserve">Rezultati spremljanja uporabe pravil javnega naročanja so del nacionalnega poročanja Evropski komisiji, ki poteka vsaka 3 leta. Poročilo je informacija javnega značaja. Za večjo preglednost rezultatov spremljanja bo MJU na svojih spletnih straneh v delu Poročila in analize (skupaj z nacionalnimi letnimi </w:t>
            </w:r>
            <w:r w:rsidRPr="00DF1E49">
              <w:rPr>
                <w:color w:val="000000"/>
                <w:sz w:val="20"/>
                <w:lang w:val="it-IT"/>
              </w:rPr>
              <w:lastRenderedPageBreak/>
              <w:t xml:space="preserve">statističnimi poročili, ki so že objavljena z vsebino, kot predstavljeno v točki 1) objavilo tudi povezavo na omenjeno spletno stran Evropske komisije. </w:t>
            </w:r>
          </w:p>
          <w:p w14:paraId="1FDD369E" w14:textId="77777777" w:rsidR="00A77B3E" w:rsidRPr="00DF1E49" w:rsidRDefault="00A77B3E">
            <w:pPr>
              <w:spacing w:before="100"/>
              <w:rPr>
                <w:color w:val="000000"/>
                <w:sz w:val="20"/>
                <w:lang w:val="it-IT"/>
              </w:rPr>
            </w:pPr>
          </w:p>
          <w:p w14:paraId="04850326" w14:textId="77777777" w:rsidR="00A77B3E" w:rsidRPr="00DF1E49" w:rsidRDefault="005A111E">
            <w:pPr>
              <w:spacing w:before="100"/>
              <w:rPr>
                <w:color w:val="000000"/>
                <w:sz w:val="20"/>
                <w:lang w:val="it-IT"/>
              </w:rPr>
            </w:pPr>
            <w:r w:rsidRPr="00DF1E49">
              <w:rPr>
                <w:color w:val="000000"/>
                <w:sz w:val="20"/>
                <w:lang w:val="it-IT"/>
              </w:rPr>
              <w:t>Sicer pa so običajno vse odločitve in poročila, ki jih sprejmejo različni državni organi (Državna revizijska komisija za revizijo postopkov oddaje javnih naročil, Komisija za preprečevanje korupcije, Računsko sodišče Republike Slovenije), vsak v okviru svoje pristojnosti na področju javnih naročil kot t.i. zagovorniki javnega interesa na podlagi zakona, ki ureja pravno varstvo v postopkih javnega naročanja, objavljeni na njihovih spletnih straneh. Poročila poleg ugotovitev vsebujejo tudi priporočila za izboljšanje sistemske ureditve javnega naročanja.</w:t>
            </w:r>
          </w:p>
          <w:p w14:paraId="7DD681AC" w14:textId="77777777" w:rsidR="00A77B3E" w:rsidRPr="00DF1E49" w:rsidRDefault="00A77B3E">
            <w:pPr>
              <w:spacing w:before="100"/>
              <w:rPr>
                <w:color w:val="000000"/>
                <w:sz w:val="20"/>
                <w:lang w:val="it-IT"/>
              </w:rPr>
            </w:pPr>
          </w:p>
        </w:tc>
      </w:tr>
      <w:tr w:rsidR="00DE13D3" w14:paraId="07D0D3C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311AF" w14:textId="77777777" w:rsidR="00A77B3E" w:rsidRPr="00DF1E49" w:rsidRDefault="00A77B3E">
            <w:pPr>
              <w:spacing w:before="100"/>
              <w:rPr>
                <w:color w:val="000000"/>
                <w:sz w:val="20"/>
                <w:lang w:val="it-IT"/>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A3759" w14:textId="77777777" w:rsidR="00A77B3E" w:rsidRPr="00DF1E49" w:rsidRDefault="00A77B3E">
            <w:pPr>
              <w:spacing w:before="100"/>
              <w:rPr>
                <w:color w:val="000000"/>
                <w:sz w:val="20"/>
                <w:lang w:val="it-I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A23D4" w14:textId="77777777" w:rsidR="00A77B3E" w:rsidRPr="00DF1E49" w:rsidRDefault="00A77B3E">
            <w:pPr>
              <w:spacing w:before="100"/>
              <w:rPr>
                <w:color w:val="000000"/>
                <w:sz w:val="20"/>
                <w:lang w:val="it-IT"/>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D5556" w14:textId="77777777" w:rsidR="00A77B3E" w:rsidRPr="00DF1E49" w:rsidRDefault="00A77B3E">
            <w:pPr>
              <w:spacing w:before="100"/>
              <w:rPr>
                <w:color w:val="000000"/>
                <w:sz w:val="20"/>
                <w:lang w:val="it-IT"/>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F6522" w14:textId="77777777" w:rsidR="00A77B3E" w:rsidRPr="00DF1E49" w:rsidRDefault="005A111E">
            <w:pPr>
              <w:spacing w:before="100"/>
              <w:rPr>
                <w:color w:val="000000"/>
                <w:sz w:val="20"/>
                <w:lang w:val="it-IT"/>
              </w:rPr>
            </w:pPr>
            <w:r w:rsidRPr="00DF1E49">
              <w:rPr>
                <w:color w:val="000000"/>
                <w:sz w:val="20"/>
                <w:lang w:val="it-IT"/>
              </w:rPr>
              <w:t>5. ureditve za zagotovitev, da se vse informacije, ki kažejo na domnevne primere manipulacij pri razpisnih postopkih, sporočijo pristojnim nacionalnim telesom v skladu s členom 83(2) Direktive 2014/24/EU in členom 99(2) Direktive 2014/25/EU.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7BF97" w14:textId="77777777" w:rsidR="00A77B3E" w:rsidRDefault="005A111E">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DCF75" w14:textId="77777777" w:rsidR="00A77B3E" w:rsidRPr="00DF1E49" w:rsidRDefault="005A111E">
            <w:pPr>
              <w:spacing w:before="100"/>
              <w:rPr>
                <w:color w:val="000000"/>
                <w:sz w:val="20"/>
                <w:lang w:val="it-IT"/>
              </w:rPr>
            </w:pPr>
            <w:r w:rsidRPr="00DF1E49">
              <w:rPr>
                <w:color w:val="000000"/>
                <w:sz w:val="20"/>
                <w:lang w:val="it-IT"/>
              </w:rPr>
              <w:t>Zakon o javnem naročanju (ZJN-3)</w:t>
            </w:r>
          </w:p>
          <w:p w14:paraId="3AAC9FE9" w14:textId="77777777" w:rsidR="00A77B3E" w:rsidRPr="00DF1E49" w:rsidRDefault="005A111E">
            <w:pPr>
              <w:spacing w:before="100"/>
              <w:rPr>
                <w:color w:val="000000"/>
                <w:sz w:val="20"/>
                <w:lang w:val="it-IT"/>
              </w:rPr>
            </w:pPr>
            <w:r w:rsidRPr="00DF1E49">
              <w:rPr>
                <w:color w:val="000000"/>
                <w:sz w:val="20"/>
                <w:lang w:val="it-IT"/>
              </w:rPr>
              <w:t>http://www.pisrs.si/Pis.web/pregledPredpisa?id=ZAKO7086</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F7069" w14:textId="77777777" w:rsidR="00A77B3E" w:rsidRPr="00DF1E49" w:rsidRDefault="005A111E">
            <w:pPr>
              <w:spacing w:before="100"/>
              <w:rPr>
                <w:color w:val="000000"/>
                <w:sz w:val="20"/>
                <w:lang w:val="it-IT"/>
              </w:rPr>
            </w:pPr>
            <w:r w:rsidRPr="00DF1E49">
              <w:rPr>
                <w:color w:val="000000"/>
                <w:sz w:val="20"/>
                <w:lang w:val="it-IT"/>
              </w:rPr>
              <w:t>V skladu z ZJN-3 MJU zagotavlja spremljanje uporabe pravil o javnem naročanju. Ko ugotovi ali prejme podatke, ki kažejo na posamezne kršitve ali sistemske težave, obvesti pristojne organe, ki ustrezno ukrepajo. Državni organi so dolžni spoštovati vso relevantno pozitivno zakonodajo, vključno s pravili poslovanja in postopkovnimi pravili. ZJN-3 opredeljuje izključitvene razloge, povezane z omejevanjem konkurence (75. člen).</w:t>
            </w:r>
          </w:p>
          <w:p w14:paraId="3308198D" w14:textId="77777777" w:rsidR="00A77B3E" w:rsidRPr="00DF1E49" w:rsidRDefault="00A77B3E">
            <w:pPr>
              <w:spacing w:before="100"/>
              <w:rPr>
                <w:color w:val="000000"/>
                <w:sz w:val="20"/>
                <w:lang w:val="it-IT"/>
              </w:rPr>
            </w:pPr>
          </w:p>
          <w:p w14:paraId="58C912E8" w14:textId="77777777" w:rsidR="00A77B3E" w:rsidRPr="00DF1E49" w:rsidRDefault="005A111E">
            <w:pPr>
              <w:spacing w:before="100"/>
              <w:rPr>
                <w:color w:val="000000"/>
                <w:sz w:val="20"/>
                <w:lang w:val="it-IT"/>
              </w:rPr>
            </w:pPr>
            <w:r w:rsidRPr="00DF1E49">
              <w:rPr>
                <w:color w:val="000000"/>
                <w:sz w:val="20"/>
                <w:lang w:val="it-IT"/>
              </w:rPr>
              <w:lastRenderedPageBreak/>
              <w:t>Preventivno vpliva tudi informatizacija postopka JN. Visoka transparentnost (objava obvestil, sklepov o oddaji, pogodb, razpisnih cen) je eden ključnih ukrepov v boju proti nedovoljenem dogovarjanju. MJU in AVK redno izvajata pregled stanja sistema JN. AVK izvaja zagovorništvo javnega interesa glede konkurence in svetuje naročnikom. Izvedeno je bilo izobraževanje o prepoznavanju in poročanju o usklajenih ravnanjih v postopkih JN, ki je javno dostopno.</w:t>
            </w:r>
          </w:p>
          <w:p w14:paraId="34E74292" w14:textId="77777777" w:rsidR="00A77B3E" w:rsidRPr="00DF1E49" w:rsidRDefault="00A77B3E">
            <w:pPr>
              <w:spacing w:before="100"/>
              <w:rPr>
                <w:color w:val="000000"/>
                <w:sz w:val="20"/>
                <w:lang w:val="it-IT"/>
              </w:rPr>
            </w:pPr>
          </w:p>
          <w:p w14:paraId="26F1B149" w14:textId="77777777" w:rsidR="00A77B3E" w:rsidRDefault="005A111E">
            <w:pPr>
              <w:spacing w:before="100"/>
              <w:rPr>
                <w:color w:val="000000"/>
                <w:sz w:val="20"/>
              </w:rPr>
            </w:pPr>
            <w:r>
              <w:rPr>
                <w:color w:val="000000"/>
                <w:sz w:val="20"/>
              </w:rPr>
              <w:t>Glej tudi merili 1 in 3.</w:t>
            </w:r>
          </w:p>
          <w:p w14:paraId="212AF39F" w14:textId="77777777" w:rsidR="00A77B3E" w:rsidRDefault="00A77B3E">
            <w:pPr>
              <w:spacing w:before="100"/>
              <w:rPr>
                <w:color w:val="000000"/>
                <w:sz w:val="20"/>
              </w:rPr>
            </w:pPr>
          </w:p>
        </w:tc>
      </w:tr>
      <w:tr w:rsidR="00DE13D3" w14:paraId="62719A46"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98242" w14:textId="77777777" w:rsidR="00A77B3E" w:rsidRPr="00DF1E49" w:rsidRDefault="005A111E">
            <w:pPr>
              <w:spacing w:before="100"/>
              <w:rPr>
                <w:color w:val="000000"/>
                <w:sz w:val="20"/>
                <w:lang w:val="it-IT"/>
              </w:rPr>
            </w:pPr>
            <w:r w:rsidRPr="00DF1E49">
              <w:rPr>
                <w:color w:val="000000"/>
                <w:sz w:val="20"/>
                <w:lang w:val="it-IT"/>
              </w:rPr>
              <w:lastRenderedPageBreak/>
              <w:t>2. Orodja in zmogljivosti za učinkovito uporabo pravil o državni pomoči</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71FAE" w14:textId="77777777" w:rsidR="00A77B3E" w:rsidRPr="00DF1E49" w:rsidRDefault="00A77B3E">
            <w:pPr>
              <w:spacing w:before="100"/>
              <w:rPr>
                <w:color w:val="000000"/>
                <w:sz w:val="20"/>
                <w:lang w:val="it-IT"/>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719DE" w14:textId="77777777" w:rsidR="00A77B3E" w:rsidRPr="00DF1E49" w:rsidRDefault="00A77B3E">
            <w:pPr>
              <w:spacing w:before="100"/>
              <w:rPr>
                <w:color w:val="000000"/>
                <w:sz w:val="20"/>
                <w:lang w:val="it-IT"/>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85AAE" w14:textId="77777777" w:rsidR="00A77B3E" w:rsidRDefault="005A111E">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B7071" w14:textId="77777777" w:rsidR="00A77B3E" w:rsidRDefault="005A111E">
            <w:pPr>
              <w:spacing w:before="100"/>
              <w:rPr>
                <w:color w:val="000000"/>
                <w:sz w:val="20"/>
              </w:rPr>
            </w:pPr>
            <w:r>
              <w:rPr>
                <w:color w:val="000000"/>
                <w:sz w:val="20"/>
              </w:rPr>
              <w:t xml:space="preserve">Organi upravljanja imajo orodja in zmogljivosti za preverjanje skladnosti s pravili o državni pomoči: </w:t>
            </w:r>
          </w:p>
          <w:p w14:paraId="6FC597D5" w14:textId="77777777" w:rsidR="00A77B3E" w:rsidRDefault="005A111E">
            <w:pPr>
              <w:spacing w:before="100"/>
              <w:rPr>
                <w:color w:val="000000"/>
                <w:sz w:val="20"/>
              </w:rPr>
            </w:pPr>
            <w:r>
              <w:rPr>
                <w:color w:val="000000"/>
                <w:sz w:val="20"/>
              </w:rPr>
              <w:t>1. za podjetja v težavah in za podjetja, za katera velja zahteva za vračilo;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EBF18" w14:textId="77777777" w:rsidR="00A77B3E" w:rsidRDefault="005A111E">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5A0CE" w14:textId="77777777" w:rsidR="00A77B3E" w:rsidRDefault="005A111E">
            <w:pPr>
              <w:spacing w:before="100"/>
              <w:rPr>
                <w:color w:val="000000"/>
                <w:sz w:val="20"/>
              </w:rPr>
            </w:pPr>
            <w:r>
              <w:rPr>
                <w:color w:val="000000"/>
                <w:sz w:val="20"/>
              </w:rPr>
              <w:t>Ni relevantno</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6FBAA" w14:textId="77777777" w:rsidR="00A77B3E" w:rsidRDefault="005A111E">
            <w:pPr>
              <w:spacing w:before="100"/>
              <w:rPr>
                <w:color w:val="000000"/>
                <w:sz w:val="20"/>
              </w:rPr>
            </w:pPr>
            <w:r>
              <w:rPr>
                <w:color w:val="000000"/>
                <w:sz w:val="20"/>
              </w:rPr>
              <w:t>Ker se dejavnost v okviru tega programa – brezplačno razdeljevanje hrane in zagotavljanje različnih spremljevalnih ukrepov najbolj ogroženim osebam – ne bi štela za gospodarsko dejavnost, se sredstva, dodeljena v okviru programa, ne štejejo za državno pomoč.</w:t>
            </w:r>
          </w:p>
        </w:tc>
      </w:tr>
      <w:tr w:rsidR="00DE13D3" w14:paraId="6982400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85076"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3A152"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0BA8E"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1A57D"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68653" w14:textId="77777777" w:rsidR="00A77B3E" w:rsidRDefault="005A111E">
            <w:pPr>
              <w:spacing w:before="100"/>
              <w:rPr>
                <w:color w:val="000000"/>
                <w:sz w:val="20"/>
              </w:rPr>
            </w:pPr>
            <w:r>
              <w:rPr>
                <w:color w:val="000000"/>
                <w:sz w:val="20"/>
              </w:rPr>
              <w:t>2. prek dostopa do strokovnih nasvetov in smernic o zadevah v zvezi z državno pomočjo, ki jih zagotavljajo strokovnjaki lokalnih ali nacionalnih teles za državno pomoč.</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BF6CA" w14:textId="77777777" w:rsidR="00A77B3E" w:rsidRDefault="005A111E">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79F03" w14:textId="77777777" w:rsidR="00A77B3E" w:rsidRDefault="005A111E">
            <w:pPr>
              <w:spacing w:before="100"/>
              <w:rPr>
                <w:color w:val="000000"/>
                <w:sz w:val="20"/>
              </w:rPr>
            </w:pPr>
            <w:r>
              <w:rPr>
                <w:color w:val="000000"/>
                <w:sz w:val="20"/>
              </w:rPr>
              <w:t>Ni relevantno</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C2B33" w14:textId="77777777" w:rsidR="00A77B3E" w:rsidRDefault="005A111E">
            <w:pPr>
              <w:spacing w:before="100"/>
              <w:rPr>
                <w:color w:val="000000"/>
                <w:sz w:val="20"/>
              </w:rPr>
            </w:pPr>
            <w:r>
              <w:rPr>
                <w:color w:val="000000"/>
                <w:sz w:val="20"/>
              </w:rPr>
              <w:t>Ker se dejavnost v okviru tega programa – brezplačno razdeljevanje hrane in zagotavljanje različnih spremljevalnih ukrepov najbolj ogroženim osebam – ne bi štela za gospodarsko dejavnost, se sredstva, dodeljena v okviru programa, ne štejejo za državno pomoč.</w:t>
            </w:r>
          </w:p>
        </w:tc>
      </w:tr>
      <w:tr w:rsidR="00DE13D3" w:rsidRPr="00DF1E49" w14:paraId="20F3EEEB"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05518" w14:textId="77777777" w:rsidR="00A77B3E" w:rsidRPr="00DF1E49" w:rsidRDefault="005A111E">
            <w:pPr>
              <w:spacing w:before="100"/>
              <w:rPr>
                <w:color w:val="000000"/>
                <w:sz w:val="20"/>
                <w:lang w:val="it-IT"/>
              </w:rPr>
            </w:pPr>
            <w:r w:rsidRPr="00DF1E49">
              <w:rPr>
                <w:color w:val="000000"/>
                <w:sz w:val="20"/>
                <w:lang w:val="it-IT"/>
              </w:rPr>
              <w:t xml:space="preserve">3. Učinkovita uporaba in izvajanje Listine o </w:t>
            </w:r>
            <w:r w:rsidRPr="00DF1E49">
              <w:rPr>
                <w:color w:val="000000"/>
                <w:sz w:val="20"/>
                <w:lang w:val="it-IT"/>
              </w:rPr>
              <w:lastRenderedPageBreak/>
              <w:t>temeljnih pravicah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D44CB" w14:textId="77777777" w:rsidR="00A77B3E" w:rsidRPr="00DF1E49" w:rsidRDefault="00A77B3E">
            <w:pPr>
              <w:spacing w:before="100"/>
              <w:rPr>
                <w:color w:val="000000"/>
                <w:sz w:val="20"/>
                <w:lang w:val="it-IT"/>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52018" w14:textId="77777777" w:rsidR="00A77B3E" w:rsidRPr="00DF1E49" w:rsidRDefault="00A77B3E">
            <w:pPr>
              <w:spacing w:before="100"/>
              <w:rPr>
                <w:color w:val="000000"/>
                <w:sz w:val="20"/>
                <w:lang w:val="it-IT"/>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D3EC4" w14:textId="77777777" w:rsidR="00A77B3E" w:rsidRDefault="005A111E">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DBD64" w14:textId="77777777" w:rsidR="00A77B3E" w:rsidRDefault="005A111E">
            <w:pPr>
              <w:spacing w:before="100"/>
              <w:rPr>
                <w:color w:val="000000"/>
                <w:sz w:val="20"/>
              </w:rPr>
            </w:pPr>
            <w:r>
              <w:rPr>
                <w:color w:val="000000"/>
                <w:sz w:val="20"/>
              </w:rPr>
              <w:t xml:space="preserve">Vzpostavljeni so učinkoviti mehanizmi za zagotavljanje skladnosti z Listino Evropske </w:t>
            </w:r>
            <w:r>
              <w:rPr>
                <w:color w:val="000000"/>
                <w:sz w:val="20"/>
              </w:rPr>
              <w:lastRenderedPageBreak/>
              <w:t xml:space="preserve">unije o temeljnih pravicah (v nadaljevanju: Listina), ki vključujejo: </w:t>
            </w:r>
          </w:p>
          <w:p w14:paraId="74D79D83" w14:textId="77777777" w:rsidR="00A77B3E" w:rsidRDefault="005A111E">
            <w:pPr>
              <w:spacing w:before="100"/>
              <w:rPr>
                <w:color w:val="000000"/>
                <w:sz w:val="20"/>
              </w:rPr>
            </w:pPr>
            <w:r>
              <w:rPr>
                <w:color w:val="000000"/>
                <w:sz w:val="20"/>
              </w:rPr>
              <w:t>1. ureditve za zagotovitev skladnosti programov, ki jih podpirajo skladi, in njihovega izvajanja z ustreznimi določbami Listine;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291EB" w14:textId="77777777" w:rsidR="00A77B3E" w:rsidRDefault="005A111E">
            <w:pPr>
              <w:spacing w:before="100"/>
              <w:jc w:val="center"/>
              <w:rPr>
                <w:color w:val="000000"/>
                <w:sz w:val="20"/>
              </w:rPr>
            </w:pPr>
            <w:r>
              <w:rPr>
                <w:color w:val="000000"/>
                <w:sz w:val="20"/>
              </w:rPr>
              <w:lastRenderedPageBreak/>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4AA6E" w14:textId="77777777" w:rsidR="00A77B3E" w:rsidRDefault="005A111E">
            <w:pPr>
              <w:spacing w:before="100"/>
              <w:rPr>
                <w:color w:val="000000"/>
                <w:sz w:val="20"/>
              </w:rPr>
            </w:pPr>
            <w:r>
              <w:rPr>
                <w:color w:val="000000"/>
                <w:sz w:val="20"/>
              </w:rPr>
              <w:t xml:space="preserve">Smiselna uporaba Postopkovnika za zagotavljanje horizontalnega omogočitvenega pogoja “Učinkovita </w:t>
            </w:r>
            <w:r>
              <w:rPr>
                <w:color w:val="000000"/>
                <w:sz w:val="20"/>
              </w:rPr>
              <w:lastRenderedPageBreak/>
              <w:t>uporaba in izvajanje Listine o temeljnih pravicah” Službe Vlade RS za razvoj in evropsko kohezijsko politiko (v nadaljevanju: Postopkovnik) do sprejema naslednjih dokumentov: Opis sistema upravljanja in nadzora nad izvajanjem Programa MDDSZ,  Navodila Službe za kontrole MDDSZ.</w:t>
            </w:r>
          </w:p>
          <w:p w14:paraId="05EB116F"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89024" w14:textId="77777777" w:rsidR="00A77B3E" w:rsidRPr="00DF1E49" w:rsidRDefault="005A111E">
            <w:pPr>
              <w:spacing w:before="100"/>
              <w:rPr>
                <w:color w:val="000000"/>
                <w:sz w:val="20"/>
                <w:lang w:val="it-IT"/>
              </w:rPr>
            </w:pPr>
            <w:r w:rsidRPr="00DF1E49">
              <w:rPr>
                <w:color w:val="000000"/>
                <w:sz w:val="20"/>
                <w:lang w:val="it-IT"/>
              </w:rPr>
              <w:lastRenderedPageBreak/>
              <w:t xml:space="preserve">Pri pripravi, izvajanju, spremljanju in vrednotenju Programa bo upoštevana Listina EU o temeljnih pravicah. V </w:t>
            </w:r>
            <w:r w:rsidRPr="00DF1E49">
              <w:rPr>
                <w:color w:val="000000"/>
                <w:sz w:val="20"/>
                <w:lang w:val="it-IT"/>
              </w:rPr>
              <w:lastRenderedPageBreak/>
              <w:t xml:space="preserve">Sloveniji je Varuh človekovih pravic nadzornik oblasti, ki s svojim delovanjem omejuje njeno samovoljo pri poseganju v človekove pravice in temeljne svoboščine in deluje v primeru kakršnekoli kršitve katerekoli pravice posameznika s strani nosilcev oblasti. Je eden izmed ključnih deležnikov, s katerim se je MDDSZ posvetovalo o vsebini Programa tekom programiranja, in bo vključen v vse faze izvajanja Programa. </w:t>
            </w:r>
          </w:p>
          <w:p w14:paraId="318E6D20" w14:textId="77777777" w:rsidR="00A77B3E" w:rsidRPr="00DF1E49" w:rsidRDefault="00A77B3E">
            <w:pPr>
              <w:spacing w:before="100"/>
              <w:rPr>
                <w:color w:val="000000"/>
                <w:sz w:val="20"/>
                <w:lang w:val="it-IT"/>
              </w:rPr>
            </w:pPr>
          </w:p>
          <w:p w14:paraId="3FFD395F" w14:textId="77777777" w:rsidR="00A77B3E" w:rsidRPr="00DF1E49" w:rsidRDefault="005A111E">
            <w:pPr>
              <w:spacing w:before="100"/>
              <w:rPr>
                <w:color w:val="000000"/>
                <w:sz w:val="20"/>
                <w:lang w:val="it-IT"/>
              </w:rPr>
            </w:pPr>
            <w:r w:rsidRPr="00DF1E49">
              <w:rPr>
                <w:color w:val="000000"/>
                <w:sz w:val="20"/>
                <w:lang w:val="it-IT"/>
              </w:rPr>
              <w:t xml:space="preserve">Postopki preverjanja skladnosti operacij kot tudi naloge organov bodo določeni v Opisu sistema spremljanja upravljanja in nadzora nad izvajanjem Programa, Navodila Službe za kontrole MDDSZ pa bodo vsebovala merila za preverjanje skladnosti operacij z Listino, ki bodo vključena v kontrolne liste.  </w:t>
            </w:r>
          </w:p>
          <w:p w14:paraId="708EB5B2" w14:textId="77777777" w:rsidR="00A77B3E" w:rsidRPr="00DF1E49" w:rsidRDefault="00A77B3E">
            <w:pPr>
              <w:spacing w:before="100"/>
              <w:rPr>
                <w:color w:val="000000"/>
                <w:sz w:val="20"/>
                <w:lang w:val="it-IT"/>
              </w:rPr>
            </w:pPr>
          </w:p>
          <w:p w14:paraId="2DDD52BE" w14:textId="77777777" w:rsidR="00A77B3E" w:rsidRPr="00DF1E49" w:rsidRDefault="005A111E">
            <w:pPr>
              <w:spacing w:before="100"/>
              <w:rPr>
                <w:color w:val="000000"/>
                <w:sz w:val="20"/>
                <w:lang w:val="it-IT"/>
              </w:rPr>
            </w:pPr>
            <w:r w:rsidRPr="00DF1E49">
              <w:rPr>
                <w:color w:val="000000"/>
                <w:sz w:val="20"/>
                <w:lang w:val="it-IT"/>
              </w:rPr>
              <w:t xml:space="preserve">Priprava dokumentov bo potekala v sodelovanju z Varuhom človekovih pravic RS, do njihove uveljavitve pa se bo smiselno upošteval Postopkovnik.  </w:t>
            </w:r>
          </w:p>
          <w:p w14:paraId="1EBC1E37" w14:textId="77777777" w:rsidR="00A77B3E" w:rsidRPr="00DF1E49" w:rsidRDefault="005A111E">
            <w:pPr>
              <w:spacing w:before="100"/>
              <w:rPr>
                <w:color w:val="000000"/>
                <w:sz w:val="20"/>
                <w:lang w:val="it-IT"/>
              </w:rPr>
            </w:pPr>
            <w:r w:rsidRPr="00DF1E49">
              <w:rPr>
                <w:color w:val="000000"/>
                <w:sz w:val="20"/>
                <w:lang w:val="it-IT"/>
              </w:rPr>
              <w:t xml:space="preserve"> </w:t>
            </w:r>
          </w:p>
          <w:p w14:paraId="31DFD9A1" w14:textId="77777777" w:rsidR="00A77B3E" w:rsidRPr="00DF1E49" w:rsidRDefault="005A111E">
            <w:pPr>
              <w:spacing w:before="100"/>
              <w:rPr>
                <w:color w:val="000000"/>
                <w:sz w:val="20"/>
                <w:lang w:val="it-IT"/>
              </w:rPr>
            </w:pPr>
            <w:r w:rsidRPr="00DF1E49">
              <w:rPr>
                <w:color w:val="000000"/>
                <w:sz w:val="20"/>
                <w:lang w:val="it-IT"/>
              </w:rPr>
              <w:t>MDDSZ bo v sodelovanju s pristojnim Varuhom človekovih pravic RS izvedlo usposabljanja za osebe, ki bodo preverjale skladnost operacij z Listino, ter drugih ključnih deležnikov.</w:t>
            </w:r>
          </w:p>
          <w:p w14:paraId="73ACD16C" w14:textId="77777777" w:rsidR="00A77B3E" w:rsidRPr="00DF1E49" w:rsidRDefault="00A77B3E">
            <w:pPr>
              <w:spacing w:before="100"/>
              <w:rPr>
                <w:color w:val="000000"/>
                <w:sz w:val="20"/>
                <w:lang w:val="it-IT"/>
              </w:rPr>
            </w:pPr>
          </w:p>
          <w:p w14:paraId="47EB1791" w14:textId="77777777" w:rsidR="00A77B3E" w:rsidRPr="00DF1E49" w:rsidRDefault="00A77B3E">
            <w:pPr>
              <w:spacing w:before="100"/>
              <w:rPr>
                <w:color w:val="000000"/>
                <w:sz w:val="20"/>
                <w:lang w:val="it-IT"/>
              </w:rPr>
            </w:pPr>
          </w:p>
        </w:tc>
      </w:tr>
      <w:tr w:rsidR="00DE13D3" w14:paraId="3BB45317"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16DA9" w14:textId="77777777" w:rsidR="00A77B3E" w:rsidRPr="00DF1E49" w:rsidRDefault="00A77B3E">
            <w:pPr>
              <w:spacing w:before="100"/>
              <w:rPr>
                <w:color w:val="000000"/>
                <w:sz w:val="20"/>
                <w:lang w:val="it-IT"/>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8C064" w14:textId="77777777" w:rsidR="00A77B3E" w:rsidRPr="00DF1E49" w:rsidRDefault="00A77B3E">
            <w:pPr>
              <w:spacing w:before="100"/>
              <w:rPr>
                <w:color w:val="000000"/>
                <w:sz w:val="20"/>
                <w:lang w:val="it-I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9878F" w14:textId="77777777" w:rsidR="00A77B3E" w:rsidRPr="00DF1E49" w:rsidRDefault="00A77B3E">
            <w:pPr>
              <w:spacing w:before="100"/>
              <w:rPr>
                <w:color w:val="000000"/>
                <w:sz w:val="20"/>
                <w:lang w:val="it-IT"/>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23A84" w14:textId="77777777" w:rsidR="00A77B3E" w:rsidRPr="00DF1E49" w:rsidRDefault="00A77B3E">
            <w:pPr>
              <w:spacing w:before="100"/>
              <w:rPr>
                <w:color w:val="000000"/>
                <w:sz w:val="20"/>
                <w:lang w:val="it-IT"/>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B8AF6" w14:textId="77777777" w:rsidR="00A77B3E" w:rsidRPr="00DF1E49" w:rsidRDefault="005A111E">
            <w:pPr>
              <w:spacing w:before="100"/>
              <w:rPr>
                <w:color w:val="000000"/>
                <w:sz w:val="20"/>
                <w:lang w:val="it-IT"/>
              </w:rPr>
            </w:pPr>
            <w:r w:rsidRPr="00DF1E49">
              <w:rPr>
                <w:color w:val="000000"/>
                <w:sz w:val="20"/>
                <w:lang w:val="it-IT"/>
              </w:rPr>
              <w:t>2. ureditve poročanja odboru za spremljanje o primerih neskladnosti operacij, ki jih podpirajo skladi, z Listino in pritožbah glede Listine, predloženih v skladu z ureditvami na podlagi člena 69(7).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EAAE6" w14:textId="77777777" w:rsidR="00A77B3E" w:rsidRDefault="005A111E">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F27D9" w14:textId="77777777" w:rsidR="00A77B3E" w:rsidRDefault="005A111E">
            <w:pPr>
              <w:spacing w:before="100"/>
              <w:rPr>
                <w:color w:val="000000"/>
                <w:sz w:val="20"/>
              </w:rPr>
            </w:pPr>
            <w:r>
              <w:rPr>
                <w:color w:val="000000"/>
                <w:sz w:val="20"/>
              </w:rPr>
              <w:t xml:space="preserve">Smiselna uporaba Postopkovnika za zagotavljanje horizontalnega omogočitvenega pogoja “Učinkovita uporaba in izvajanje Listine o temeljnih pravicah” do sprejema Opisa sistema upravljanja in nadzora nad izvajanjem Programa MDDSZ. </w:t>
            </w:r>
          </w:p>
          <w:p w14:paraId="7788980E" w14:textId="77777777" w:rsidR="00A77B3E" w:rsidRDefault="00A77B3E">
            <w:pPr>
              <w:spacing w:before="100"/>
              <w:rPr>
                <w:color w:val="000000"/>
                <w:sz w:val="20"/>
              </w:rPr>
            </w:pPr>
          </w:p>
          <w:p w14:paraId="4E3E4453"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00C14" w14:textId="77777777" w:rsidR="00A77B3E" w:rsidRDefault="005A111E">
            <w:pPr>
              <w:spacing w:before="100"/>
              <w:rPr>
                <w:color w:val="000000"/>
                <w:sz w:val="20"/>
              </w:rPr>
            </w:pPr>
            <w:r>
              <w:rPr>
                <w:color w:val="000000"/>
                <w:sz w:val="20"/>
              </w:rPr>
              <w:t xml:space="preserve">Eden izmed ključnih deležnikov letnih pregledovalnih srečanj bo predstavnik Varuha človekovih pravic, ki bo enkrat letno MDDSZ posredoval informacijo o morebitnih pritožbah, ki jih je prejel v okviru svojih pooblastil od posameznih oseb. MDDSZ bo imenoval odgovorno osebo, ki bo zadolžena za spremljanje in poročanje na letnih pregledovalnih srečanjih o morebitnih ugotovljenih neskladjih v postopkih upravljalnih preverjanj, revizij, vloženih spletnih pritožbah, pritožbah, ki so bile naslovljene na Varuha človekovih pravic, ipd., ter o  izvedenih popravljalnih ukrepih. </w:t>
            </w:r>
          </w:p>
          <w:p w14:paraId="596C32A1" w14:textId="77777777" w:rsidR="00A77B3E" w:rsidRDefault="00A77B3E">
            <w:pPr>
              <w:spacing w:before="100"/>
              <w:rPr>
                <w:color w:val="000000"/>
                <w:sz w:val="20"/>
              </w:rPr>
            </w:pPr>
          </w:p>
          <w:p w14:paraId="26DF42C0" w14:textId="77777777" w:rsidR="00A77B3E" w:rsidRDefault="005A111E">
            <w:pPr>
              <w:spacing w:before="100"/>
              <w:rPr>
                <w:color w:val="000000"/>
                <w:sz w:val="20"/>
              </w:rPr>
            </w:pPr>
            <w:r>
              <w:rPr>
                <w:color w:val="000000"/>
                <w:sz w:val="20"/>
              </w:rPr>
              <w:t xml:space="preserve">Imenovana odgovorna oseba MDDSZ bo enkrat letno pripravila poročilo, ki bo vsebovalo informacijo o številu ugotovljenih neskladij in pritožb, vsebini in izvedenih popravljalnih ukrepih. </w:t>
            </w:r>
          </w:p>
          <w:p w14:paraId="5E1087AE" w14:textId="77777777" w:rsidR="00A77B3E" w:rsidRDefault="00A77B3E">
            <w:pPr>
              <w:spacing w:before="100"/>
              <w:rPr>
                <w:color w:val="000000"/>
                <w:sz w:val="20"/>
              </w:rPr>
            </w:pPr>
          </w:p>
          <w:p w14:paraId="3B320670" w14:textId="77777777" w:rsidR="00A77B3E" w:rsidRDefault="005A111E">
            <w:pPr>
              <w:spacing w:before="100"/>
              <w:rPr>
                <w:color w:val="000000"/>
                <w:sz w:val="20"/>
              </w:rPr>
            </w:pPr>
            <w:r>
              <w:rPr>
                <w:color w:val="000000"/>
                <w:sz w:val="20"/>
              </w:rPr>
              <w:t>Na spletni strani MDDSZ in spletni strani https://evropskasredstva.si/ bo objavljen spletni obrazec za pritožbe na podlagi 7. odstavka 69. člena Uredbe (EU) 2021/1060.</w:t>
            </w:r>
          </w:p>
          <w:p w14:paraId="092DC391" w14:textId="77777777" w:rsidR="00A77B3E" w:rsidRDefault="00A77B3E">
            <w:pPr>
              <w:spacing w:before="100"/>
              <w:rPr>
                <w:color w:val="000000"/>
                <w:sz w:val="20"/>
              </w:rPr>
            </w:pPr>
          </w:p>
        </w:tc>
      </w:tr>
      <w:tr w:rsidR="00DE13D3" w:rsidRPr="00DF1E49" w14:paraId="0C149EF8"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462CA" w14:textId="77777777" w:rsidR="00A77B3E" w:rsidRDefault="005A111E">
            <w:pPr>
              <w:spacing w:before="100"/>
              <w:rPr>
                <w:color w:val="000000"/>
                <w:sz w:val="20"/>
              </w:rPr>
            </w:pPr>
            <w:r>
              <w:rPr>
                <w:color w:val="000000"/>
                <w:sz w:val="20"/>
              </w:rPr>
              <w:lastRenderedPageBreak/>
              <w:t xml:space="preserve">4. Izvajanje in uporaba Konvencije Združenih narodov o </w:t>
            </w:r>
            <w:r>
              <w:rPr>
                <w:color w:val="000000"/>
                <w:sz w:val="20"/>
              </w:rPr>
              <w:lastRenderedPageBreak/>
              <w:t>pravicah invalidov v skladu s Sklepom Sveta 2010/48/ES</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E9328"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505314"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FEF2C" w14:textId="77777777" w:rsidR="00A77B3E" w:rsidRDefault="005A111E">
            <w:pPr>
              <w:spacing w:before="100"/>
              <w:jc w:val="center"/>
              <w:rPr>
                <w:color w:val="000000"/>
                <w:sz w:val="20"/>
              </w:rPr>
            </w:pPr>
            <w:r>
              <w:rPr>
                <w:color w:val="000000"/>
                <w:sz w:val="20"/>
              </w:rPr>
              <w:t>Da</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73AB6" w14:textId="77777777" w:rsidR="00A77B3E" w:rsidRDefault="005A111E">
            <w:pPr>
              <w:spacing w:before="100"/>
              <w:rPr>
                <w:color w:val="000000"/>
                <w:sz w:val="20"/>
              </w:rPr>
            </w:pPr>
            <w:r>
              <w:rPr>
                <w:color w:val="000000"/>
                <w:sz w:val="20"/>
              </w:rPr>
              <w:t xml:space="preserve">Vzpostavljen je nacionalni okvir za izvajanje Konvencije Združenih narodov o pravicah invalidov, ki vključuje: </w:t>
            </w:r>
          </w:p>
          <w:p w14:paraId="66F415C8" w14:textId="77777777" w:rsidR="00A77B3E" w:rsidRDefault="005A111E">
            <w:pPr>
              <w:spacing w:before="100"/>
              <w:rPr>
                <w:color w:val="000000"/>
                <w:sz w:val="20"/>
              </w:rPr>
            </w:pPr>
            <w:r>
              <w:rPr>
                <w:color w:val="000000"/>
                <w:sz w:val="20"/>
              </w:rPr>
              <w:lastRenderedPageBreak/>
              <w:t>1. cilje z merljivimi vrednostmi, zbiranje podatkov in mehanizme spremljanja;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4864E" w14:textId="77777777" w:rsidR="00A77B3E" w:rsidRDefault="005A111E">
            <w:pPr>
              <w:spacing w:before="100"/>
              <w:jc w:val="center"/>
              <w:rPr>
                <w:color w:val="000000"/>
                <w:sz w:val="20"/>
              </w:rPr>
            </w:pPr>
            <w:r>
              <w:rPr>
                <w:color w:val="000000"/>
                <w:sz w:val="20"/>
              </w:rPr>
              <w:lastRenderedPageBreak/>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1205A" w14:textId="77777777" w:rsidR="00A77B3E" w:rsidRDefault="005A111E">
            <w:pPr>
              <w:spacing w:before="100"/>
              <w:rPr>
                <w:color w:val="000000"/>
                <w:sz w:val="20"/>
              </w:rPr>
            </w:pPr>
            <w:r>
              <w:rPr>
                <w:color w:val="000000"/>
                <w:sz w:val="20"/>
              </w:rPr>
              <w:t>Akcijski program za invalide 2022-2030</w:t>
            </w:r>
          </w:p>
          <w:p w14:paraId="70D2D124" w14:textId="77777777" w:rsidR="00A77B3E" w:rsidRDefault="005A111E">
            <w:pPr>
              <w:spacing w:before="100"/>
              <w:rPr>
                <w:color w:val="000000"/>
                <w:sz w:val="20"/>
              </w:rPr>
            </w:pPr>
            <w:r>
              <w:rPr>
                <w:color w:val="000000"/>
                <w:sz w:val="20"/>
              </w:rPr>
              <w:t>https://www.gov.si/zbirke/projekti-in-programi/akcijski-program-za-invalide/</w:t>
            </w:r>
          </w:p>
          <w:p w14:paraId="62AE57F9"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1DC13" w14:textId="77777777" w:rsidR="00A77B3E" w:rsidRPr="00DF1E49" w:rsidRDefault="005A111E">
            <w:pPr>
              <w:spacing w:before="100"/>
              <w:rPr>
                <w:color w:val="000000"/>
                <w:sz w:val="20"/>
                <w:lang w:val="it-IT"/>
              </w:rPr>
            </w:pPr>
            <w:r>
              <w:rPr>
                <w:color w:val="000000"/>
                <w:sz w:val="20"/>
              </w:rPr>
              <w:t xml:space="preserve">Vlada RS je oktobra 2021 sprejela Akcijski program za invalide 2022-2030 (API), katerega namen je spodbujati, varovati in zagotavljati polnopravno in enakovredno uživanje človekovih pravic </w:t>
            </w:r>
            <w:r>
              <w:rPr>
                <w:color w:val="000000"/>
                <w:sz w:val="20"/>
              </w:rPr>
              <w:lastRenderedPageBreak/>
              <w:t xml:space="preserve">invalidov in spodbujanje njihovega dostojanstva. 7. 4. 2022 je bila imenovana Komisija za spremljanje API. Sestavljena je iz skupine predstavnikov vseh resornih ministrstev, strokovnih organizacij, Nacionalnega sveta invalidskih organizacij Slovenije ter drugih invalidskih organizacij in Zveze društev upokojencev. </w:t>
            </w:r>
            <w:r w:rsidRPr="00DF1E49">
              <w:rPr>
                <w:color w:val="000000"/>
                <w:sz w:val="20"/>
                <w:lang w:val="it-IT"/>
              </w:rPr>
              <w:t>Naloga Komisije je priprava letnega poročila o izvajanju API za Vlado RS. Poročevalci beležijo vse dejavnosti, ki so bile izvedene v letu v okviru predvidenih 13 ciljev in 120 ukrepov API. Mnenje na letno poročilo Komisije poda Svet za invalide (posvetovalni, neodvisen tripartitni organ, ustanovljen na podlagi 33. člena Konvencije ZN o pravicah invalidov in EU strategije za invalide 2021-30), ki je med drugim zadolžen za spodbujanje in spremljanje izvajanja Zakona o ratifikaciji Konvencije kot tudi za spremljanje implementacije API.</w:t>
            </w:r>
          </w:p>
        </w:tc>
      </w:tr>
      <w:tr w:rsidR="00DE13D3" w:rsidRPr="00DF1E49" w14:paraId="6379F39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35050" w14:textId="77777777" w:rsidR="00A77B3E" w:rsidRPr="00DF1E49" w:rsidRDefault="00A77B3E">
            <w:pPr>
              <w:spacing w:before="100"/>
              <w:rPr>
                <w:color w:val="000000"/>
                <w:sz w:val="20"/>
                <w:lang w:val="it-IT"/>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CB3B9" w14:textId="77777777" w:rsidR="00A77B3E" w:rsidRPr="00DF1E49" w:rsidRDefault="00A77B3E">
            <w:pPr>
              <w:spacing w:before="100"/>
              <w:rPr>
                <w:color w:val="000000"/>
                <w:sz w:val="20"/>
                <w:lang w:val="it-I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7B5EB" w14:textId="77777777" w:rsidR="00A77B3E" w:rsidRPr="00DF1E49" w:rsidRDefault="00A77B3E">
            <w:pPr>
              <w:spacing w:before="100"/>
              <w:rPr>
                <w:color w:val="000000"/>
                <w:sz w:val="20"/>
                <w:lang w:val="it-IT"/>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ADFFF" w14:textId="77777777" w:rsidR="00A77B3E" w:rsidRPr="00DF1E49" w:rsidRDefault="00A77B3E">
            <w:pPr>
              <w:spacing w:before="100"/>
              <w:rPr>
                <w:color w:val="000000"/>
                <w:sz w:val="20"/>
                <w:lang w:val="it-IT"/>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01B92" w14:textId="77777777" w:rsidR="00A77B3E" w:rsidRPr="00DF1E49" w:rsidRDefault="005A111E">
            <w:pPr>
              <w:spacing w:before="100"/>
              <w:rPr>
                <w:color w:val="000000"/>
                <w:sz w:val="20"/>
                <w:lang w:val="it-IT"/>
              </w:rPr>
            </w:pPr>
            <w:r w:rsidRPr="00DF1E49">
              <w:rPr>
                <w:color w:val="000000"/>
                <w:sz w:val="20"/>
                <w:lang w:val="it-IT"/>
              </w:rPr>
              <w:t>2. ureditve za zagotovitev, da se politika, zakonodaja in standardi dostopnosti ustrezno upoštevajo pri pripravi in izvajanju programov;</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E7306" w14:textId="77777777" w:rsidR="00A77B3E" w:rsidRDefault="005A111E">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F95DB" w14:textId="77777777" w:rsidR="00A77B3E" w:rsidRDefault="005A111E">
            <w:pPr>
              <w:spacing w:before="100"/>
              <w:rPr>
                <w:color w:val="000000"/>
                <w:sz w:val="20"/>
              </w:rPr>
            </w:pPr>
            <w:r>
              <w:rPr>
                <w:color w:val="000000"/>
                <w:sz w:val="20"/>
              </w:rPr>
              <w:t>Akcijski program za invalide 2022-2030</w:t>
            </w:r>
          </w:p>
          <w:p w14:paraId="7204C2E1" w14:textId="77777777" w:rsidR="00A77B3E" w:rsidRDefault="005A111E">
            <w:pPr>
              <w:spacing w:before="100"/>
              <w:rPr>
                <w:color w:val="000000"/>
                <w:sz w:val="20"/>
              </w:rPr>
            </w:pPr>
            <w:r>
              <w:rPr>
                <w:color w:val="000000"/>
                <w:sz w:val="20"/>
              </w:rPr>
              <w:t>https://www.gov.si/zbirke/projekti-in-programi/akcijski-program-za-invalide/</w:t>
            </w:r>
          </w:p>
          <w:p w14:paraId="3BB52727"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BCEEC" w14:textId="77777777" w:rsidR="00A77B3E" w:rsidRDefault="005A111E">
            <w:pPr>
              <w:spacing w:before="100"/>
              <w:rPr>
                <w:color w:val="000000"/>
                <w:sz w:val="20"/>
              </w:rPr>
            </w:pPr>
            <w:r>
              <w:rPr>
                <w:color w:val="000000"/>
                <w:sz w:val="20"/>
              </w:rPr>
              <w:t xml:space="preserve">Pri izvajanju, spremljanju in vrednotenju Programa so/bodo sodelovale organizacije, ki so pristojne za spremljanje izvajanja Konvencije. </w:t>
            </w:r>
          </w:p>
          <w:p w14:paraId="6D2DFFB6" w14:textId="77777777" w:rsidR="00A77B3E" w:rsidRDefault="00A77B3E">
            <w:pPr>
              <w:spacing w:before="100"/>
              <w:rPr>
                <w:color w:val="000000"/>
                <w:sz w:val="20"/>
              </w:rPr>
            </w:pPr>
          </w:p>
          <w:p w14:paraId="18B7CA01" w14:textId="77777777" w:rsidR="00A77B3E" w:rsidRDefault="005A111E">
            <w:pPr>
              <w:spacing w:before="100"/>
              <w:rPr>
                <w:color w:val="000000"/>
                <w:sz w:val="20"/>
              </w:rPr>
            </w:pPr>
            <w:r>
              <w:rPr>
                <w:color w:val="000000"/>
                <w:sz w:val="20"/>
              </w:rPr>
              <w:t xml:space="preserve">Preverjanje skladnosti s Konvencijo je bila zagotovljena tudi v procesu programiranja, saj so bile v pripravo Programa vključene različne organizacije s tega področja. </w:t>
            </w:r>
          </w:p>
          <w:p w14:paraId="5DCD3698" w14:textId="77777777" w:rsidR="00A77B3E" w:rsidRDefault="00A77B3E">
            <w:pPr>
              <w:spacing w:before="100"/>
              <w:rPr>
                <w:color w:val="000000"/>
                <w:sz w:val="20"/>
              </w:rPr>
            </w:pPr>
          </w:p>
          <w:p w14:paraId="24B441D5" w14:textId="77777777" w:rsidR="00A77B3E" w:rsidRPr="00DF1E49" w:rsidRDefault="005A111E">
            <w:pPr>
              <w:spacing w:before="100"/>
              <w:rPr>
                <w:color w:val="000000"/>
                <w:sz w:val="20"/>
                <w:lang w:val="it-IT"/>
              </w:rPr>
            </w:pPr>
            <w:r>
              <w:rPr>
                <w:color w:val="000000"/>
                <w:sz w:val="20"/>
              </w:rPr>
              <w:t xml:space="preserve">Skladnost operacij s Konvencijo bomo preverjali na podlagi meril v kontrolnih </w:t>
            </w:r>
            <w:r>
              <w:rPr>
                <w:color w:val="000000"/>
                <w:sz w:val="20"/>
              </w:rPr>
              <w:lastRenderedPageBreak/>
              <w:t xml:space="preserve">listih, ki bodo opredeljena v Navodilih Službe za kontrole MDDSZ. </w:t>
            </w:r>
            <w:r w:rsidRPr="00DF1E49">
              <w:rPr>
                <w:color w:val="000000"/>
                <w:sz w:val="20"/>
                <w:lang w:val="it-IT"/>
              </w:rPr>
              <w:t>Postopki in naloge organov bodo določeni v Opisu sistema upravljanja in nadzora nad izvajanjem Programa MDDSZ.</w:t>
            </w:r>
          </w:p>
          <w:p w14:paraId="324E4F56" w14:textId="77777777" w:rsidR="00A77B3E" w:rsidRPr="00DF1E49" w:rsidRDefault="005A111E">
            <w:pPr>
              <w:spacing w:before="100"/>
              <w:rPr>
                <w:color w:val="000000"/>
                <w:sz w:val="20"/>
                <w:lang w:val="it-IT"/>
              </w:rPr>
            </w:pPr>
            <w:r w:rsidRPr="00DF1E49">
              <w:rPr>
                <w:color w:val="000000"/>
                <w:sz w:val="20"/>
                <w:lang w:val="it-IT"/>
              </w:rPr>
              <w:t xml:space="preserve"> </w:t>
            </w:r>
          </w:p>
          <w:p w14:paraId="0146709C" w14:textId="77777777" w:rsidR="00A77B3E" w:rsidRPr="00DF1E49" w:rsidRDefault="005A111E">
            <w:pPr>
              <w:spacing w:before="100"/>
              <w:rPr>
                <w:color w:val="000000"/>
                <w:sz w:val="20"/>
                <w:lang w:val="it-IT"/>
              </w:rPr>
            </w:pPr>
            <w:r w:rsidRPr="00DF1E49">
              <w:rPr>
                <w:color w:val="000000"/>
                <w:sz w:val="20"/>
                <w:lang w:val="it-IT"/>
              </w:rPr>
              <w:t xml:space="preserve">V načrtu ukrepov za krepitev upravne zmogljivosti smo predvideli usposabljanja in izobraževanja ključnih deležnikov na tem področju, ki bo pripravljeno v sodelovanju s Komisijo za spremljanje API in ostalimi relevantnimi strokovnjaki.  </w:t>
            </w:r>
          </w:p>
          <w:p w14:paraId="065AC666" w14:textId="77777777" w:rsidR="00A77B3E" w:rsidRPr="00DF1E49" w:rsidRDefault="00A77B3E">
            <w:pPr>
              <w:spacing w:before="100"/>
              <w:rPr>
                <w:color w:val="000000"/>
                <w:sz w:val="20"/>
                <w:lang w:val="it-IT"/>
              </w:rPr>
            </w:pPr>
          </w:p>
        </w:tc>
      </w:tr>
      <w:tr w:rsidR="00DE13D3" w14:paraId="2284EABC"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310ED" w14:textId="77777777" w:rsidR="00A77B3E" w:rsidRPr="00DF1E49" w:rsidRDefault="00A77B3E">
            <w:pPr>
              <w:spacing w:before="100"/>
              <w:rPr>
                <w:color w:val="000000"/>
                <w:sz w:val="20"/>
                <w:lang w:val="it-IT"/>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D349B" w14:textId="77777777" w:rsidR="00A77B3E" w:rsidRPr="00DF1E49" w:rsidRDefault="00A77B3E">
            <w:pPr>
              <w:spacing w:before="100"/>
              <w:rPr>
                <w:color w:val="000000"/>
                <w:sz w:val="20"/>
                <w:lang w:val="it-I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7F659" w14:textId="77777777" w:rsidR="00A77B3E" w:rsidRPr="00DF1E49" w:rsidRDefault="00A77B3E">
            <w:pPr>
              <w:spacing w:before="100"/>
              <w:rPr>
                <w:color w:val="000000"/>
                <w:sz w:val="20"/>
                <w:lang w:val="it-IT"/>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29E94" w14:textId="77777777" w:rsidR="00A77B3E" w:rsidRPr="00DF1E49" w:rsidRDefault="00A77B3E">
            <w:pPr>
              <w:spacing w:before="100"/>
              <w:rPr>
                <w:color w:val="000000"/>
                <w:sz w:val="20"/>
                <w:lang w:val="it-IT"/>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A8355" w14:textId="77777777" w:rsidR="00A77B3E" w:rsidRPr="00DF1E49" w:rsidRDefault="005A111E">
            <w:pPr>
              <w:spacing w:before="100"/>
              <w:rPr>
                <w:color w:val="000000"/>
                <w:sz w:val="20"/>
                <w:lang w:val="it-IT"/>
              </w:rPr>
            </w:pPr>
            <w:r w:rsidRPr="00DF1E49">
              <w:rPr>
                <w:color w:val="000000"/>
                <w:sz w:val="20"/>
                <w:lang w:val="it-IT"/>
              </w:rPr>
              <w:t>3. ureditve poročanja odboru za spremljanje o primerih neskladnosti operacij, ki jih podpirajo skladi, s Konvencijo Združenih narodov o pravicah invalidov in pritožbah glede navedene konvencije, predloženih v skladu z ureditvami na podlagi člena 69(7).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D3F79" w14:textId="77777777" w:rsidR="00A77B3E" w:rsidRDefault="005A111E">
            <w:pPr>
              <w:spacing w:before="100"/>
              <w:jc w:val="center"/>
              <w:rPr>
                <w:color w:val="000000"/>
                <w:sz w:val="20"/>
              </w:rPr>
            </w:pPr>
            <w:r>
              <w:rPr>
                <w:color w:val="000000"/>
                <w:sz w:val="20"/>
              </w:rPr>
              <w:t>Da</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8FEDD" w14:textId="77777777" w:rsidR="00A77B3E" w:rsidRDefault="005A111E">
            <w:pPr>
              <w:spacing w:before="100"/>
              <w:rPr>
                <w:color w:val="000000"/>
                <w:sz w:val="20"/>
              </w:rPr>
            </w:pPr>
            <w:r>
              <w:rPr>
                <w:color w:val="000000"/>
                <w:sz w:val="20"/>
              </w:rPr>
              <w:t>Akcijski program za invalide 2022-2030</w:t>
            </w:r>
          </w:p>
          <w:p w14:paraId="2C76526E" w14:textId="77777777" w:rsidR="00A77B3E" w:rsidRDefault="005A111E">
            <w:pPr>
              <w:spacing w:before="100"/>
              <w:rPr>
                <w:color w:val="000000"/>
                <w:sz w:val="20"/>
              </w:rPr>
            </w:pPr>
            <w:r>
              <w:rPr>
                <w:color w:val="000000"/>
                <w:sz w:val="20"/>
              </w:rPr>
              <w:t>https://www.gov.si/zbirke/projekti-in-programi/akcijski-program-za-invalide/</w:t>
            </w:r>
          </w:p>
          <w:p w14:paraId="52452066"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8CC1C" w14:textId="77777777" w:rsidR="00A77B3E" w:rsidRDefault="005A111E">
            <w:pPr>
              <w:spacing w:before="100"/>
              <w:rPr>
                <w:color w:val="000000"/>
                <w:sz w:val="20"/>
              </w:rPr>
            </w:pPr>
            <w:r>
              <w:rPr>
                <w:color w:val="000000"/>
                <w:sz w:val="20"/>
              </w:rPr>
              <w:t>Komisija za spremljanje API bo pripravila letno poročilo, s katerim bo seznanila MDDSZ. Mnenje na poročilo bo podal Svet za invalide, ter se izrekel o morebitnih pritožbah in ugotovljenih neskladjih.</w:t>
            </w:r>
          </w:p>
          <w:p w14:paraId="23BB2CF5" w14:textId="77777777" w:rsidR="00A77B3E" w:rsidRDefault="005A111E">
            <w:pPr>
              <w:spacing w:before="100"/>
              <w:rPr>
                <w:color w:val="000000"/>
                <w:sz w:val="20"/>
              </w:rPr>
            </w:pPr>
            <w:r>
              <w:rPr>
                <w:color w:val="000000"/>
                <w:sz w:val="20"/>
              </w:rPr>
              <w:t xml:space="preserve">  </w:t>
            </w:r>
          </w:p>
          <w:p w14:paraId="5EB8843A" w14:textId="77777777" w:rsidR="00A77B3E" w:rsidRDefault="005A111E">
            <w:pPr>
              <w:spacing w:before="100"/>
              <w:rPr>
                <w:color w:val="000000"/>
                <w:sz w:val="20"/>
              </w:rPr>
            </w:pPr>
            <w:r>
              <w:rPr>
                <w:color w:val="000000"/>
                <w:sz w:val="20"/>
              </w:rPr>
              <w:t xml:space="preserve">MDDSZ bo imenoval odgovorno osebo, ki bo zadolžena za spremljanje in pripravo letnega poročila o ugotovljenih neskladjih v postopkih upravljalnih preverjanj, revizij, vloženih spletnih pritožbah, ugotovitvah Komisije za spremljanje API, ter o  izvedenih popravljalnih ukrepih. Imenovana odgovorna oseba MDDSZ bo poročilo predstavila ključnim deležnikom na letnih pregledovalnih srečanjih. </w:t>
            </w:r>
          </w:p>
          <w:p w14:paraId="67B57B03" w14:textId="77777777" w:rsidR="00A77B3E" w:rsidRDefault="00A77B3E">
            <w:pPr>
              <w:spacing w:before="100"/>
              <w:rPr>
                <w:color w:val="000000"/>
                <w:sz w:val="20"/>
              </w:rPr>
            </w:pPr>
          </w:p>
          <w:p w14:paraId="383D090B" w14:textId="77777777" w:rsidR="00A77B3E" w:rsidRDefault="005A111E">
            <w:pPr>
              <w:spacing w:before="100"/>
              <w:rPr>
                <w:color w:val="000000"/>
                <w:sz w:val="20"/>
              </w:rPr>
            </w:pPr>
            <w:r>
              <w:rPr>
                <w:color w:val="000000"/>
                <w:sz w:val="20"/>
              </w:rPr>
              <w:lastRenderedPageBreak/>
              <w:t xml:space="preserve">Poročilo bo vsebovalo informacijo o ugotovljenih neskladjih in pritožbah, vsebini in izvedenih popravljalnih ukrepih. </w:t>
            </w:r>
          </w:p>
          <w:p w14:paraId="1890B481" w14:textId="77777777" w:rsidR="00A77B3E" w:rsidRDefault="005A111E">
            <w:pPr>
              <w:spacing w:before="100"/>
              <w:rPr>
                <w:color w:val="000000"/>
                <w:sz w:val="20"/>
              </w:rPr>
            </w:pPr>
            <w:r>
              <w:rPr>
                <w:color w:val="000000"/>
                <w:sz w:val="20"/>
              </w:rPr>
              <w:t>Pritožbe bo zbiralo tudi MDDSZ, zato bo na spletni strani MDDSZ in https://evropskasredstva.si/ objavljen spletni obrazec za pritožbe na podlagi 7. odstavka 69. člena Uredbe (EU) 2021/1060.</w:t>
            </w:r>
          </w:p>
          <w:p w14:paraId="0269739C" w14:textId="77777777" w:rsidR="00A77B3E" w:rsidRDefault="00A77B3E">
            <w:pPr>
              <w:spacing w:before="100"/>
              <w:rPr>
                <w:color w:val="000000"/>
                <w:sz w:val="20"/>
              </w:rPr>
            </w:pPr>
          </w:p>
        </w:tc>
      </w:tr>
    </w:tbl>
    <w:p w14:paraId="602DF794" w14:textId="77777777" w:rsidR="00A77B3E" w:rsidRDefault="005A111E">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0"/>
        </w:rPr>
        <w:lastRenderedPageBreak/>
        <w:br w:type="page"/>
      </w:r>
      <w:bookmarkStart w:id="38" w:name="_Toc256000097"/>
      <w:r>
        <w:rPr>
          <w:rFonts w:ascii="Times New Roman" w:hAnsi="Times New Roman" w:cs="Times New Roman"/>
          <w:b w:val="0"/>
          <w:color w:val="000000"/>
          <w:sz w:val="24"/>
        </w:rPr>
        <w:lastRenderedPageBreak/>
        <w:t>5. Organi, pristojni za program</w:t>
      </w:r>
      <w:bookmarkEnd w:id="38"/>
    </w:p>
    <w:p w14:paraId="5E7FCBF8" w14:textId="77777777" w:rsidR="00A77B3E" w:rsidRDefault="005A111E">
      <w:pPr>
        <w:spacing w:before="100"/>
        <w:rPr>
          <w:color w:val="000000"/>
          <w:sz w:val="0"/>
        </w:rPr>
      </w:pPr>
      <w:r>
        <w:rPr>
          <w:color w:val="000000"/>
        </w:rPr>
        <w:t>Sklic: člen 22(3)(k) ter člena 71 in 84 uredbe o skupnih določbah</w:t>
      </w:r>
    </w:p>
    <w:p w14:paraId="67C0D5D0" w14:textId="77777777" w:rsidR="00A77B3E" w:rsidRDefault="005A111E">
      <w:pPr>
        <w:pStyle w:val="Naslov2"/>
        <w:spacing w:before="100" w:after="0"/>
        <w:rPr>
          <w:rFonts w:ascii="Times New Roman" w:hAnsi="Times New Roman" w:cs="Times New Roman"/>
          <w:b w:val="0"/>
          <w:i w:val="0"/>
          <w:color w:val="000000"/>
          <w:sz w:val="24"/>
        </w:rPr>
      </w:pPr>
      <w:bookmarkStart w:id="39" w:name="_Toc256000098"/>
      <w:r>
        <w:rPr>
          <w:rFonts w:ascii="Times New Roman" w:hAnsi="Times New Roman" w:cs="Times New Roman"/>
          <w:b w:val="0"/>
          <w:i w:val="0"/>
          <w:color w:val="000000"/>
          <w:sz w:val="24"/>
        </w:rPr>
        <w:t>Tabela 13: Organi, pristojni za program</w:t>
      </w:r>
      <w:bookmarkEnd w:id="39"/>
    </w:p>
    <w:p w14:paraId="6BD77BE7"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6185"/>
        <w:gridCol w:w="1568"/>
        <w:gridCol w:w="1437"/>
        <w:gridCol w:w="2153"/>
      </w:tblGrid>
      <w:tr w:rsidR="00DE13D3" w14:paraId="0176FC0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B949F9" w14:textId="77777777" w:rsidR="00A77B3E" w:rsidRDefault="005A111E">
            <w:pPr>
              <w:spacing w:before="100"/>
              <w:jc w:val="center"/>
              <w:rPr>
                <w:color w:val="000000"/>
                <w:sz w:val="20"/>
              </w:rPr>
            </w:pPr>
            <w:r>
              <w:rPr>
                <w:color w:val="000000"/>
                <w:sz w:val="20"/>
              </w:rPr>
              <w:t>Organi, pristojni za program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57B571" w14:textId="77777777" w:rsidR="00A77B3E" w:rsidRDefault="005A111E">
            <w:pPr>
              <w:spacing w:before="100"/>
              <w:jc w:val="center"/>
              <w:rPr>
                <w:color w:val="000000"/>
                <w:sz w:val="20"/>
              </w:rPr>
            </w:pPr>
            <w:r>
              <w:rPr>
                <w:color w:val="000000"/>
                <w:sz w:val="20"/>
              </w:rPr>
              <w:t>Ime nosilca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D87DAE" w14:textId="77777777" w:rsidR="00A77B3E" w:rsidRDefault="005A111E">
            <w:pPr>
              <w:spacing w:before="100"/>
              <w:jc w:val="center"/>
              <w:rPr>
                <w:color w:val="000000"/>
                <w:sz w:val="20"/>
              </w:rPr>
            </w:pPr>
            <w:r>
              <w:rPr>
                <w:color w:val="000000"/>
                <w:sz w:val="20"/>
              </w:rPr>
              <w:t>Kontaktna oseba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5A3694" w14:textId="77777777" w:rsidR="00A77B3E" w:rsidRDefault="005A111E">
            <w:pPr>
              <w:spacing w:before="100"/>
              <w:jc w:val="center"/>
              <w:rPr>
                <w:color w:val="000000"/>
                <w:sz w:val="20"/>
              </w:rPr>
            </w:pPr>
            <w:r>
              <w:rPr>
                <w:color w:val="000000"/>
                <w:sz w:val="20"/>
              </w:rPr>
              <w:t>Položaj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ECB8B6" w14:textId="77777777" w:rsidR="00A77B3E" w:rsidRDefault="005A111E">
            <w:pPr>
              <w:spacing w:before="100"/>
              <w:rPr>
                <w:color w:val="000000"/>
                <w:sz w:val="20"/>
              </w:rPr>
            </w:pPr>
            <w:r>
              <w:rPr>
                <w:color w:val="000000"/>
                <w:sz w:val="20"/>
              </w:rPr>
              <w:t>E-naslov</w:t>
            </w:r>
          </w:p>
        </w:tc>
      </w:tr>
      <w:tr w:rsidR="00DE13D3" w14:paraId="772DC6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E7CB1" w14:textId="77777777" w:rsidR="00A77B3E" w:rsidRDefault="005A111E">
            <w:pPr>
              <w:spacing w:before="100"/>
              <w:rPr>
                <w:color w:val="000000"/>
                <w:sz w:val="20"/>
              </w:rPr>
            </w:pPr>
            <w:r>
              <w:rPr>
                <w:color w:val="000000"/>
                <w:sz w:val="20"/>
              </w:rPr>
              <w:t>Organ upravljanja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27355" w14:textId="77777777" w:rsidR="00A77B3E" w:rsidRPr="00DF1E49" w:rsidRDefault="005A111E">
            <w:pPr>
              <w:spacing w:before="100"/>
              <w:rPr>
                <w:color w:val="000000"/>
                <w:sz w:val="20"/>
                <w:lang w:val="it-IT"/>
              </w:rPr>
            </w:pPr>
            <w:r w:rsidRPr="00DF1E49">
              <w:rPr>
                <w:color w:val="000000"/>
                <w:sz w:val="20"/>
                <w:lang w:val="it-IT"/>
              </w:rPr>
              <w:t>Ministrstvo za delo, družino, socialne zadeve in enake možnosti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F71CC" w14:textId="77777777" w:rsidR="00A77B3E" w:rsidRDefault="005A111E">
            <w:pPr>
              <w:spacing w:before="100"/>
              <w:rPr>
                <w:color w:val="000000"/>
                <w:sz w:val="20"/>
              </w:rPr>
            </w:pPr>
            <w:r>
              <w:rPr>
                <w:color w:val="000000"/>
                <w:sz w:val="20"/>
              </w:rPr>
              <w:t>Polona Samec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D8ADC" w14:textId="77777777" w:rsidR="00A77B3E" w:rsidRDefault="005A111E">
            <w:pPr>
              <w:spacing w:before="100"/>
              <w:rPr>
                <w:color w:val="000000"/>
                <w:sz w:val="20"/>
              </w:rPr>
            </w:pPr>
            <w:r>
              <w:rPr>
                <w:color w:val="000000"/>
                <w:sz w:val="20"/>
              </w:rPr>
              <w:t>Direktorica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4D50B" w14:textId="77777777" w:rsidR="00A77B3E" w:rsidRDefault="005A111E">
            <w:pPr>
              <w:spacing w:before="100"/>
              <w:rPr>
                <w:color w:val="000000"/>
                <w:sz w:val="20"/>
              </w:rPr>
            </w:pPr>
            <w:r>
              <w:rPr>
                <w:color w:val="000000"/>
                <w:sz w:val="20"/>
              </w:rPr>
              <w:t>polona.samec@gov.si</w:t>
            </w:r>
          </w:p>
        </w:tc>
      </w:tr>
      <w:tr w:rsidR="00DE13D3" w14:paraId="220B25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650D0" w14:textId="77777777" w:rsidR="00A77B3E" w:rsidRDefault="005A111E">
            <w:pPr>
              <w:spacing w:before="100"/>
              <w:rPr>
                <w:color w:val="000000"/>
                <w:sz w:val="20"/>
              </w:rPr>
            </w:pPr>
            <w:r>
              <w:rPr>
                <w:color w:val="000000"/>
                <w:sz w:val="20"/>
              </w:rPr>
              <w:t>Revizijski organ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6FA48" w14:textId="77777777" w:rsidR="00A77B3E" w:rsidRDefault="005A111E">
            <w:pPr>
              <w:spacing w:before="100"/>
              <w:rPr>
                <w:color w:val="000000"/>
                <w:sz w:val="20"/>
              </w:rPr>
            </w:pPr>
            <w:r>
              <w:rPr>
                <w:color w:val="000000"/>
                <w:sz w:val="20"/>
              </w:rPr>
              <w:t>Ministrstvo za finance, Urad Republike Slovenije za nadzor proračuna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C50E8" w14:textId="77777777" w:rsidR="00A77B3E" w:rsidRDefault="005A111E">
            <w:pPr>
              <w:spacing w:before="100"/>
              <w:rPr>
                <w:color w:val="000000"/>
                <w:sz w:val="20"/>
              </w:rPr>
            </w:pPr>
            <w:r>
              <w:rPr>
                <w:color w:val="000000"/>
                <w:sz w:val="20"/>
              </w:rPr>
              <w:t>Patricija Pergar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8A954" w14:textId="77777777" w:rsidR="00A77B3E" w:rsidRDefault="005A111E">
            <w:pPr>
              <w:spacing w:before="100"/>
              <w:rPr>
                <w:color w:val="000000"/>
                <w:sz w:val="20"/>
              </w:rPr>
            </w:pPr>
            <w:r>
              <w:rPr>
                <w:color w:val="000000"/>
                <w:sz w:val="20"/>
              </w:rPr>
              <w:t xml:space="preserve">v.d. direktorice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4CC37" w14:textId="77777777" w:rsidR="00A77B3E" w:rsidRDefault="005A111E">
            <w:pPr>
              <w:spacing w:before="100"/>
              <w:rPr>
                <w:color w:val="000000"/>
                <w:sz w:val="20"/>
              </w:rPr>
            </w:pPr>
            <w:r>
              <w:rPr>
                <w:color w:val="000000"/>
                <w:sz w:val="20"/>
              </w:rPr>
              <w:t>patricija.pergar@gov.si</w:t>
            </w:r>
          </w:p>
        </w:tc>
      </w:tr>
      <w:tr w:rsidR="00DE13D3" w14:paraId="08A45A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AC9AA" w14:textId="77777777" w:rsidR="00A77B3E" w:rsidRDefault="005A111E">
            <w:pPr>
              <w:spacing w:before="100"/>
              <w:rPr>
                <w:color w:val="000000"/>
                <w:sz w:val="20"/>
              </w:rPr>
            </w:pPr>
            <w:r>
              <w:rPr>
                <w:color w:val="000000"/>
                <w:sz w:val="20"/>
              </w:rPr>
              <w:t>Telo, ki prejema plačila Evropske komisije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745A4" w14:textId="77777777" w:rsidR="00A77B3E" w:rsidRDefault="005A111E">
            <w:pPr>
              <w:spacing w:before="100"/>
              <w:rPr>
                <w:color w:val="000000"/>
                <w:sz w:val="20"/>
              </w:rPr>
            </w:pPr>
            <w:r>
              <w:rPr>
                <w:color w:val="000000"/>
                <w:sz w:val="20"/>
              </w:rPr>
              <w:t>Ministrstvo za finance, Sektor za upravljanje s sredstvi EU/CA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777F9" w14:textId="77777777" w:rsidR="00A77B3E" w:rsidRDefault="005A111E">
            <w:pPr>
              <w:spacing w:before="100"/>
              <w:rPr>
                <w:color w:val="000000"/>
                <w:sz w:val="20"/>
              </w:rPr>
            </w:pPr>
            <w:r>
              <w:rPr>
                <w:color w:val="000000"/>
                <w:sz w:val="20"/>
              </w:rPr>
              <w:t>Evelyn Filip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26BAB" w14:textId="77777777" w:rsidR="00A77B3E" w:rsidRDefault="005A111E">
            <w:pPr>
              <w:spacing w:before="100"/>
              <w:rPr>
                <w:color w:val="000000"/>
                <w:sz w:val="20"/>
              </w:rPr>
            </w:pPr>
            <w:r>
              <w:rPr>
                <w:color w:val="000000"/>
                <w:sz w:val="20"/>
              </w:rPr>
              <w:t>Vodja sektorja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93B4A" w14:textId="77777777" w:rsidR="00A77B3E" w:rsidRDefault="005A111E">
            <w:pPr>
              <w:spacing w:before="100"/>
              <w:rPr>
                <w:color w:val="000000"/>
                <w:sz w:val="20"/>
              </w:rPr>
            </w:pPr>
            <w:r>
              <w:rPr>
                <w:color w:val="000000"/>
                <w:sz w:val="20"/>
              </w:rPr>
              <w:t>evelyn.filip@gov.si</w:t>
            </w:r>
          </w:p>
        </w:tc>
      </w:tr>
    </w:tbl>
    <w:p w14:paraId="24273752" w14:textId="77777777" w:rsidR="00A77B3E" w:rsidRDefault="00A77B3E">
      <w:pPr>
        <w:spacing w:before="100"/>
        <w:rPr>
          <w:color w:val="000000"/>
          <w:sz w:val="20"/>
        </w:rPr>
      </w:pPr>
    </w:p>
    <w:p w14:paraId="0F82181D" w14:textId="77777777" w:rsidR="00A77B3E" w:rsidRDefault="005A111E">
      <w:pPr>
        <w:pStyle w:val="Naslov2"/>
        <w:spacing w:before="100" w:after="0"/>
        <w:rPr>
          <w:rFonts w:ascii="Times New Roman" w:hAnsi="Times New Roman" w:cs="Times New Roman"/>
          <w:b w:val="0"/>
          <w:i w:val="0"/>
          <w:color w:val="000000"/>
          <w:sz w:val="24"/>
        </w:rPr>
      </w:pPr>
      <w:bookmarkStart w:id="40" w:name="_Toc256000099"/>
      <w:r>
        <w:rPr>
          <w:rFonts w:ascii="Times New Roman" w:hAnsi="Times New Roman" w:cs="Times New Roman"/>
          <w:b w:val="0"/>
          <w:i w:val="0"/>
          <w:color w:val="000000"/>
          <w:sz w:val="24"/>
        </w:rPr>
        <w:t>Porazdelitev povrnjenih zneskov za tehnično pomoč v skladu s členom 36(5) uredbe o skupnih določbah, če je za prejemanje plačil Komisije opredeljenih več teles</w:t>
      </w:r>
      <w:bookmarkEnd w:id="40"/>
    </w:p>
    <w:p w14:paraId="0CE3C36A" w14:textId="77777777" w:rsidR="00A77B3E" w:rsidRDefault="00A77B3E">
      <w:pPr>
        <w:spacing w:before="100"/>
        <w:rPr>
          <w:color w:val="000000"/>
          <w:sz w:val="0"/>
        </w:rPr>
      </w:pPr>
    </w:p>
    <w:p w14:paraId="18CC79CD" w14:textId="77777777" w:rsidR="00A77B3E" w:rsidRDefault="005A111E">
      <w:pPr>
        <w:spacing w:before="100"/>
        <w:rPr>
          <w:color w:val="000000"/>
        </w:rPr>
      </w:pPr>
      <w:r>
        <w:rPr>
          <w:color w:val="000000"/>
        </w:rPr>
        <w:t>Sklic: člen 22(3) uredbe o skupnih določbah</w:t>
      </w:r>
    </w:p>
    <w:p w14:paraId="77695B1A" w14:textId="77777777" w:rsidR="00A77B3E" w:rsidRDefault="005A111E">
      <w:pPr>
        <w:spacing w:before="100"/>
        <w:rPr>
          <w:color w:val="000000"/>
        </w:rPr>
      </w:pPr>
      <w:r>
        <w:rPr>
          <w:color w:val="000000"/>
        </w:rPr>
        <w:t>Tabela 13A: Del odstotnih deležev iz člena 36(5)(b) uredbe o skupnih določbah, ki bi se povrnil organom, ki prejemajo plačila Komisije v primeru tehnične pomoči v skladu s členom 36(5) uredbe o skupnih določbah (v odstotnih točkah)</w:t>
      </w:r>
    </w:p>
    <w:p w14:paraId="1FD8E60A" w14:textId="77777777" w:rsidR="00A77B3E" w:rsidRDefault="00A77B3E">
      <w:pPr>
        <w:spacing w:before="100"/>
        <w:rPr>
          <w:color w:val="000000"/>
          <w:sz w:val="12"/>
        </w:rPr>
      </w:pPr>
    </w:p>
    <w:p w14:paraId="5EFDCF32" w14:textId="77777777" w:rsidR="00A77B3E" w:rsidRDefault="00A77B3E">
      <w:pPr>
        <w:spacing w:before="100"/>
        <w:rPr>
          <w:color w:val="000000"/>
        </w:rPr>
        <w:sectPr w:rsidR="00A77B3E">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14:paraId="4A028888" w14:textId="77777777" w:rsidR="00A77B3E" w:rsidRDefault="005A111E">
      <w:pPr>
        <w:pStyle w:val="Naslov1"/>
        <w:spacing w:before="100" w:after="0"/>
        <w:rPr>
          <w:rFonts w:ascii="Times New Roman" w:hAnsi="Times New Roman" w:cs="Times New Roman"/>
          <w:b w:val="0"/>
          <w:color w:val="000000"/>
          <w:sz w:val="24"/>
        </w:rPr>
      </w:pPr>
      <w:bookmarkStart w:id="41" w:name="_Toc256000100"/>
      <w:r>
        <w:rPr>
          <w:rFonts w:ascii="Times New Roman" w:hAnsi="Times New Roman" w:cs="Times New Roman"/>
          <w:b w:val="0"/>
          <w:color w:val="000000"/>
          <w:sz w:val="24"/>
        </w:rPr>
        <w:lastRenderedPageBreak/>
        <w:t>6. Partnerstvo</w:t>
      </w:r>
      <w:bookmarkEnd w:id="41"/>
    </w:p>
    <w:p w14:paraId="5E3C9B4D" w14:textId="77777777" w:rsidR="00A77B3E" w:rsidRDefault="005A111E">
      <w:pPr>
        <w:spacing w:before="100"/>
        <w:rPr>
          <w:color w:val="000000"/>
          <w:sz w:val="16"/>
        </w:rPr>
      </w:pPr>
      <w:r>
        <w:rPr>
          <w:color w:val="000000"/>
        </w:rPr>
        <w:t>Sklic: člen 22(3)(h) uredbe o skupnih določbah</w:t>
      </w:r>
    </w:p>
    <w:p w14:paraId="561EC744"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E13D3" w14:paraId="1A687A7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F63ED" w14:textId="77777777" w:rsidR="00A77B3E" w:rsidRDefault="00A77B3E">
            <w:pPr>
              <w:spacing w:before="100"/>
              <w:rPr>
                <w:color w:val="000000"/>
                <w:sz w:val="0"/>
              </w:rPr>
            </w:pPr>
          </w:p>
          <w:p w14:paraId="30396E57" w14:textId="77777777" w:rsidR="00A77B3E" w:rsidRDefault="005A111E">
            <w:pPr>
              <w:spacing w:before="100"/>
              <w:rPr>
                <w:color w:val="000000"/>
              </w:rPr>
            </w:pPr>
            <w:r>
              <w:rPr>
                <w:color w:val="000000"/>
              </w:rPr>
              <w:t>Ključno načelo pri pripravi, izvajanju in spremljanju Programa, bo sodelovanje s ključnimi partnerji, kot so Služba Vlade RS za kohezijsko politiko in razvoj, Ministrstvo za finance, Urad RS za nadzor proračuna, Ministrstvo za kmetijstvo, gozdarstvo in prehrano, nevladne organizacije, invalidske organizacije, Svet za invalide, Varuh človekovih pravic, ter druge organizacije, ki delujejo na socialnem področju.</w:t>
            </w:r>
          </w:p>
          <w:p w14:paraId="264AC12B" w14:textId="77777777" w:rsidR="00A77B3E" w:rsidRDefault="00A77B3E">
            <w:pPr>
              <w:spacing w:before="100"/>
              <w:rPr>
                <w:color w:val="000000"/>
              </w:rPr>
            </w:pPr>
          </w:p>
          <w:p w14:paraId="1CE165FD" w14:textId="77777777" w:rsidR="00A77B3E" w:rsidRDefault="005A111E">
            <w:pPr>
              <w:spacing w:before="100"/>
              <w:rPr>
                <w:color w:val="000000"/>
              </w:rPr>
            </w:pPr>
            <w:r>
              <w:rPr>
                <w:color w:val="000000"/>
              </w:rPr>
              <w:t>V procesu programiranja je sodelovanje s ključnimi partnerji potekalo predvsem preko pisne komunikacije, anket in posvetov ter spletnih objav. Prvi posvet s ključnimi deležniki je bil izveden novembra 2019. Posvet je bil namenjen predstavitvi izvajanja ukrepa v tem programskem obdobju, predstavitvi predlaganih novosti pri izvajanju ukrepa v obdobju 2021–2027, predstavitvi socialnega položaja najranljivejših v Sloveniji ter razpravi o predlogih za izboljšave in spremembe izvajanja ukrepa v prihodnosti. Na posvet je bilo vabljenih 21 nevladnih (humanitarnih) organizacij, Center nevladnih organizacij, različne raziskovalne organizacije in inštituti, skupnosti zavodov in centrov, ki delujejo na socialnem področju, ter Varuh človekovih pravic. V okviru posveta je MDDSZ humanitarnim organizacijam poslalo anketo, s katero je želelo pridobiti informacije o izkušnjah organizacij z nudenjem pomoči ranljivim skupinam, oceni položaja najbolj ranljivih skupin, njihove ocene in mnenja o potrebah ranljivih skupin, ter o aktivnostih, ki bi najbolj izboljšale njihovo socialno vključenost. Na posvetu so bili udeleženci seznanjeni z zakonodajnim okvirom izvajanja ukrepa v obdobju 2021 – 2027, priporočili Evropskega računskega sodišča in Evropske komisije državam članicam pri programiranju, priporočili Vmesnega vrednotenja OP MPO, ugotovitvami Poročila o socialnem položaju v Sloveniji 2018-2019, izvajanjem OP MPO ter s kategorijami skupin z visokim tveganjem revščine ter vrstami socialnih transferjev. Ključne ugotovitve posveta: pri pripravi programa za naslednje obdobje je potrebno zasledovati cilj, da se ukrep izvaja po preprostem sistemu, ki pa bi bil na terenu fleksibilen, raznovrsten in tako primeren za različne skupine najbolj prikrajšanih ljudi. Izogibati se je potrebno preveliki kontroli, odnos med MDDSZ in upravičenci, izbranimi za razdeljevanje hrane, je potrebno graditi predvsem na zaupanju in partnerstvu. Spremljevalni ukrepi in neposreden stik z osebo je ključnega pomena, zato vavčerski sistem ni primeren, prostovoljcem je potrebno zagotoviti usposabljanje. V okviru spremljevalnih ukrepov bi bilo potrebno izvajati svetovanje o zdravi prehrani. Nujno potrebno je vzpostaviti tesno sodelovanje upravičencev, izbranih za razdeljevanje hrane s pristojnimi službami, kot je CSD. Potrebno je okrepiti povezovanje ukrepa s programi socialnega vključevanja, aktivacije in programi aktivne politike zaposlovanja.</w:t>
            </w:r>
          </w:p>
          <w:p w14:paraId="0E126CCF" w14:textId="77777777" w:rsidR="00A77B3E" w:rsidRDefault="00A77B3E">
            <w:pPr>
              <w:spacing w:before="100"/>
              <w:rPr>
                <w:color w:val="000000"/>
              </w:rPr>
            </w:pPr>
          </w:p>
          <w:p w14:paraId="73E50921" w14:textId="77777777" w:rsidR="00A77B3E" w:rsidRDefault="005A111E">
            <w:pPr>
              <w:spacing w:before="100"/>
              <w:rPr>
                <w:color w:val="000000"/>
              </w:rPr>
            </w:pPr>
            <w:r>
              <w:rPr>
                <w:color w:val="000000"/>
              </w:rPr>
              <w:t>MDDSZ je pripravilo prvi osnutek Programa in ga avgusta 2021 vsem ključnim deležnikom posredovalo v mnenje. Na podlagi prejetih mnenj je MDDSZ pripravilo drugi osnutek Programa in septembra 2021 izvedlo drugi posvet s ključnimi deležniki, na katerem je predstavilo osnutek Programa in nadaljnje korake programiranja. Zaključki posveta so bili naslednji: ciljne skupine Programa so skupine z najvišjo stopnjo tveganja revščine v državi, pomoč lahko prejmejo tudi osebe, ki bodo s strani pristojnih služb in upravičencev, izbranih za razdeljevanje hrane prepoznane kot pomoči potrebne, kriteriji upravičenosti oseb do pomoči bodo enotni, ugotavljanje upravičenosti bo v pristojnosti upravičencev, izbranih za razdeljevanje hrane, za osnovno materialno pomoč se nameni 10 % pomoči ter zagotovi bolj kakovostno in zdravo hrano, MDDSZ bo predvidoma do konca septembra 2022 izdelalo poslovno analizo aplikativne rešitve za vodenje evidence končnih prejemnikov za potrebe poročanja, pri čemer bodo upoštevani že razviti IT sistemi, vsebine spremljevalnih ukrepov morajo odražati potrebe končnih prejemnikov, vključi se ukrep informiranja o ravnanju s hrano.</w:t>
            </w:r>
          </w:p>
          <w:p w14:paraId="349C1F37" w14:textId="77777777" w:rsidR="00A77B3E" w:rsidRDefault="00A77B3E">
            <w:pPr>
              <w:spacing w:before="100"/>
              <w:rPr>
                <w:color w:val="000000"/>
              </w:rPr>
            </w:pPr>
          </w:p>
          <w:p w14:paraId="64664DEE" w14:textId="77777777" w:rsidR="00A77B3E" w:rsidRDefault="005A111E">
            <w:pPr>
              <w:spacing w:before="100"/>
              <w:rPr>
                <w:color w:val="000000"/>
              </w:rPr>
            </w:pPr>
            <w:r>
              <w:rPr>
                <w:color w:val="000000"/>
              </w:rPr>
              <w:t xml:space="preserve">Tretji posvet s ključnimi deležniki je bil izveden junija 2022, na katerem je MDDSZ predstavilo napredek pri programiranju in tretji osnutek Programa. Sklepne ugotovitve posveta so bile, da je Program dobro zastavljen, ciljne skupine so določene dovolj široko in zajemajo vse osebe, ki potrebujejo </w:t>
            </w:r>
            <w:r>
              <w:rPr>
                <w:color w:val="000000"/>
              </w:rPr>
              <w:lastRenderedPageBreak/>
              <w:t>pomoč, kriterije upravičenosti oseb do pomoči je potrebno določiti dovolj široko, da bodo pomoč lahko prejeli zares vsi, ki jo potrebujejo. Zaradi draginje, s katero se soočamo, je dvig pavšalne stopnje za kritje stroškov razdeljevanja hrane in spremljevalnih ukrepov dobrodošel, zaradi višanja cene hrane na trgu pa je potrebno prilagoditi časovni razpon javnih naročil za dobavo hrane, da ne bo prihajalo do odpovedi pogodb s strani dobaviteljev in zamud pri dobavah hrane. Zaradi velikega povpraševanja najbolj ogroženih oseb po prehranskih izdelkih in višanja cen prehranskih izdelkov ob istem obsegu sredstev kot v trenutnem programskem obdobju, se pomoč v celoti nameni hrani. Potreben je večji poudarek na informiranosti končnih prejemnikov o oblikah pomoči in programih, ki so jim na voljo v lokalnem okolju.</w:t>
            </w:r>
          </w:p>
          <w:p w14:paraId="43C89234" w14:textId="77777777" w:rsidR="00A77B3E" w:rsidRDefault="00A77B3E">
            <w:pPr>
              <w:spacing w:before="100"/>
              <w:rPr>
                <w:color w:val="000000"/>
              </w:rPr>
            </w:pPr>
          </w:p>
          <w:p w14:paraId="009DC091" w14:textId="77777777" w:rsidR="00A77B3E" w:rsidRDefault="005A111E">
            <w:pPr>
              <w:spacing w:before="100"/>
              <w:rPr>
                <w:color w:val="000000"/>
              </w:rPr>
            </w:pPr>
            <w:r>
              <w:rPr>
                <w:color w:val="000000"/>
              </w:rPr>
              <w:t>MDDSZ je predlog Programa, vključno z gradivi s posvetov, objavilo na spletni strani MDDSZ https://www.gov.si/zbirke/projekti-in-programi/sklad-za-evropsko-pomoc-najbolj-ogrozenim/, ter tako širšo javnost seznanilo s potekom programiranja. Program je bil 21. 7. 2022 sprejet na Vladi RS.</w:t>
            </w:r>
          </w:p>
          <w:p w14:paraId="3EF12ED4" w14:textId="77777777" w:rsidR="00A77B3E" w:rsidRDefault="00A77B3E">
            <w:pPr>
              <w:spacing w:before="100"/>
              <w:rPr>
                <w:color w:val="000000"/>
              </w:rPr>
            </w:pPr>
          </w:p>
          <w:p w14:paraId="459E3EAD" w14:textId="77777777" w:rsidR="00A77B3E" w:rsidRDefault="005A111E">
            <w:pPr>
              <w:spacing w:before="100"/>
              <w:rPr>
                <w:color w:val="000000"/>
              </w:rPr>
            </w:pPr>
            <w:r>
              <w:rPr>
                <w:color w:val="000000"/>
              </w:rPr>
              <w:t>O izvajanju in napredku Programa bo MDDSZ ključne partnerje obveščalo na letnih pregledovalnih srečanjih in posvetih, širšo javnost pa bo redno seznanjalo o dogodkih z objavami na spletni strani MDDSZ in družbenih omrežjih. O pomembnih vprašanjih bo MDDSZ redno razpravljalo s partnerji.</w:t>
            </w:r>
          </w:p>
          <w:p w14:paraId="62D758F9" w14:textId="77777777" w:rsidR="00A77B3E" w:rsidRDefault="00A77B3E">
            <w:pPr>
              <w:spacing w:before="100"/>
              <w:rPr>
                <w:color w:val="000000"/>
              </w:rPr>
            </w:pPr>
          </w:p>
          <w:p w14:paraId="7A7D3866" w14:textId="77777777" w:rsidR="00A77B3E" w:rsidRDefault="005A111E">
            <w:pPr>
              <w:spacing w:before="100"/>
              <w:rPr>
                <w:color w:val="000000"/>
              </w:rPr>
            </w:pPr>
            <w:r>
              <w:rPr>
                <w:color w:val="000000"/>
              </w:rPr>
              <w:t>Tekom izvajanja Programa bomo spodbujali izmenjevanje izkušenj in dobrih praks, ob koncu izvajanja Programa pa bomo ocenili učinkovitosti partnerstva.</w:t>
            </w:r>
          </w:p>
          <w:p w14:paraId="30E98922" w14:textId="77777777" w:rsidR="00A77B3E" w:rsidRDefault="00A77B3E">
            <w:pPr>
              <w:spacing w:before="100"/>
              <w:rPr>
                <w:color w:val="000000"/>
              </w:rPr>
            </w:pPr>
          </w:p>
          <w:p w14:paraId="0A3E9C5F" w14:textId="77777777" w:rsidR="00A77B3E" w:rsidRDefault="005A111E">
            <w:pPr>
              <w:spacing w:before="100"/>
              <w:rPr>
                <w:color w:val="000000"/>
              </w:rPr>
            </w:pPr>
            <w:r>
              <w:rPr>
                <w:color w:val="000000"/>
              </w:rPr>
              <w:t>Pri pripravi, izvajanju in spremljanju Programa bodo ustrezno upoštevana vsa horizontalna načela v skladu z 9. členom Uredbe (EU) 2021/1060.</w:t>
            </w:r>
          </w:p>
          <w:p w14:paraId="1F0192C6" w14:textId="77777777" w:rsidR="00A77B3E" w:rsidRDefault="00A77B3E">
            <w:pPr>
              <w:spacing w:before="100"/>
              <w:rPr>
                <w:color w:val="000000"/>
              </w:rPr>
            </w:pPr>
          </w:p>
        </w:tc>
      </w:tr>
    </w:tbl>
    <w:p w14:paraId="352FEEF8" w14:textId="77777777" w:rsidR="00A77B3E" w:rsidRDefault="005A111E">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lastRenderedPageBreak/>
        <w:br w:type="page"/>
      </w:r>
      <w:bookmarkStart w:id="42" w:name="_Toc256000101"/>
      <w:r>
        <w:rPr>
          <w:rFonts w:ascii="Times New Roman" w:hAnsi="Times New Roman" w:cs="Times New Roman"/>
          <w:b w:val="0"/>
          <w:color w:val="000000"/>
          <w:sz w:val="24"/>
        </w:rPr>
        <w:lastRenderedPageBreak/>
        <w:t>7. Komuniciranje in prepoznavnost</w:t>
      </w:r>
      <w:bookmarkEnd w:id="42"/>
    </w:p>
    <w:p w14:paraId="0AEF669B" w14:textId="77777777" w:rsidR="00A77B3E" w:rsidRDefault="005A111E">
      <w:pPr>
        <w:spacing w:before="100"/>
        <w:rPr>
          <w:color w:val="000000"/>
          <w:sz w:val="16"/>
        </w:rPr>
      </w:pPr>
      <w:r>
        <w:rPr>
          <w:color w:val="000000"/>
        </w:rPr>
        <w:t>Sklic: člen 22(3)(j) uredbe o skupnih določbah</w:t>
      </w:r>
    </w:p>
    <w:p w14:paraId="1D3FF8DD"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E13D3" w:rsidRPr="00DF1E49" w14:paraId="64DFE2A7"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3B04BC" w14:textId="77777777" w:rsidR="00A77B3E" w:rsidRDefault="00A77B3E">
            <w:pPr>
              <w:spacing w:before="100"/>
              <w:rPr>
                <w:color w:val="000000"/>
                <w:sz w:val="0"/>
              </w:rPr>
            </w:pPr>
          </w:p>
          <w:p w14:paraId="053180F5" w14:textId="77777777" w:rsidR="00A77B3E" w:rsidRDefault="005A111E">
            <w:pPr>
              <w:spacing w:before="100"/>
              <w:rPr>
                <w:color w:val="000000"/>
              </w:rPr>
            </w:pPr>
            <w:r>
              <w:rPr>
                <w:color w:val="000000"/>
              </w:rPr>
              <w:t>Z načrtovanimi komunikacijskimi aktivnostmi in s sporočilom, ki osvetljuje pravico do človekovega dostojanstva, dostojnega življenja in socialne vključenosti najbolj ogroženih ljudi, bomo prispevali k destigmatizaciji revščine in socialne izključenosti posameznikov ter v splošni javnosti dvignili poznavanje in percepcijo pozitivnih učinkov Programa in evropske kohezijske politike, ki imajo ključno vlogo pri zmanjševanju tveganja revščine v Sloveniji.</w:t>
            </w:r>
          </w:p>
          <w:p w14:paraId="572CF69E" w14:textId="77777777" w:rsidR="00A77B3E" w:rsidRDefault="00A77B3E">
            <w:pPr>
              <w:spacing w:before="100"/>
              <w:rPr>
                <w:color w:val="000000"/>
              </w:rPr>
            </w:pPr>
          </w:p>
          <w:p w14:paraId="72FDED67" w14:textId="77777777" w:rsidR="00A77B3E" w:rsidRDefault="005A111E">
            <w:pPr>
              <w:spacing w:before="100"/>
              <w:rPr>
                <w:color w:val="000000"/>
              </w:rPr>
            </w:pPr>
            <w:r>
              <w:rPr>
                <w:color w:val="000000"/>
              </w:rPr>
              <w:t>Cilji:</w:t>
            </w:r>
          </w:p>
          <w:p w14:paraId="128978BD" w14:textId="77777777" w:rsidR="00A77B3E" w:rsidRDefault="005A111E">
            <w:pPr>
              <w:numPr>
                <w:ilvl w:val="0"/>
                <w:numId w:val="3"/>
              </w:numPr>
              <w:spacing w:before="100"/>
              <w:rPr>
                <w:color w:val="000000"/>
              </w:rPr>
            </w:pPr>
            <w:r>
              <w:rPr>
                <w:color w:val="000000"/>
              </w:rPr>
              <w:t>izboljšati prepoznavnost Programa,</w:t>
            </w:r>
          </w:p>
          <w:p w14:paraId="3EE9A8ED" w14:textId="77777777" w:rsidR="00A77B3E" w:rsidRPr="00DF1E49" w:rsidRDefault="005A111E">
            <w:pPr>
              <w:numPr>
                <w:ilvl w:val="0"/>
                <w:numId w:val="3"/>
              </w:numPr>
              <w:spacing w:before="100"/>
              <w:rPr>
                <w:color w:val="000000"/>
                <w:lang w:val="it-IT"/>
              </w:rPr>
            </w:pPr>
            <w:r w:rsidRPr="00DF1E49">
              <w:rPr>
                <w:color w:val="000000"/>
                <w:lang w:val="it-IT"/>
              </w:rPr>
              <w:t>ozaveščati o rezultatih in doseženih ciljih Programa,</w:t>
            </w:r>
          </w:p>
          <w:p w14:paraId="250263C4" w14:textId="77777777" w:rsidR="00A77B3E" w:rsidRPr="00DF1E49" w:rsidRDefault="005A111E">
            <w:pPr>
              <w:numPr>
                <w:ilvl w:val="0"/>
                <w:numId w:val="3"/>
              </w:numPr>
              <w:spacing w:before="100"/>
              <w:rPr>
                <w:color w:val="000000"/>
                <w:lang w:val="it-IT"/>
              </w:rPr>
            </w:pPr>
            <w:r w:rsidRPr="00DF1E49">
              <w:rPr>
                <w:color w:val="000000"/>
                <w:lang w:val="it-IT"/>
              </w:rPr>
              <w:t>obveščati o pogojih in merilih za pridobitev sredstev,</w:t>
            </w:r>
          </w:p>
          <w:p w14:paraId="67BA1D9C" w14:textId="77777777" w:rsidR="00A77B3E" w:rsidRPr="00DF1E49" w:rsidRDefault="005A111E">
            <w:pPr>
              <w:numPr>
                <w:ilvl w:val="0"/>
                <w:numId w:val="3"/>
              </w:numPr>
              <w:spacing w:before="100"/>
              <w:rPr>
                <w:color w:val="000000"/>
                <w:lang w:val="it-IT"/>
              </w:rPr>
            </w:pPr>
            <w:r w:rsidRPr="00DF1E49">
              <w:rPr>
                <w:color w:val="000000"/>
                <w:lang w:val="it-IT"/>
              </w:rPr>
              <w:t>obveščati o razpoložljivosti in dostopnosti pomoči,</w:t>
            </w:r>
          </w:p>
          <w:p w14:paraId="6A0EC77B" w14:textId="77777777" w:rsidR="00A77B3E" w:rsidRPr="00DF1E49" w:rsidRDefault="005A111E">
            <w:pPr>
              <w:numPr>
                <w:ilvl w:val="0"/>
                <w:numId w:val="3"/>
              </w:numPr>
              <w:spacing w:before="100"/>
              <w:rPr>
                <w:color w:val="000000"/>
                <w:lang w:val="it-IT"/>
              </w:rPr>
            </w:pPr>
            <w:r w:rsidRPr="00DF1E49">
              <w:rPr>
                <w:color w:val="000000"/>
                <w:lang w:val="it-IT"/>
              </w:rPr>
              <w:t>razblinjati predsodke pri ljudeh, ki imajo zadržke prositi za pomoč,</w:t>
            </w:r>
          </w:p>
          <w:p w14:paraId="5407A368" w14:textId="77777777" w:rsidR="00A77B3E" w:rsidRDefault="005A111E">
            <w:pPr>
              <w:numPr>
                <w:ilvl w:val="0"/>
                <w:numId w:val="3"/>
              </w:numPr>
              <w:spacing w:before="100"/>
              <w:rPr>
                <w:color w:val="000000"/>
              </w:rPr>
            </w:pPr>
            <w:r>
              <w:rPr>
                <w:color w:val="000000"/>
              </w:rPr>
              <w:t>destigmatizacija revščine.</w:t>
            </w:r>
          </w:p>
          <w:p w14:paraId="4414B1EF" w14:textId="77777777" w:rsidR="00A77B3E" w:rsidRDefault="00A77B3E">
            <w:pPr>
              <w:spacing w:before="100"/>
              <w:rPr>
                <w:color w:val="000000"/>
              </w:rPr>
            </w:pPr>
          </w:p>
          <w:p w14:paraId="68FAFFE7" w14:textId="77777777" w:rsidR="00A77B3E" w:rsidRPr="00DF1E49" w:rsidRDefault="005A111E">
            <w:pPr>
              <w:spacing w:before="100"/>
              <w:rPr>
                <w:color w:val="000000"/>
                <w:lang w:val="it-IT"/>
              </w:rPr>
            </w:pPr>
            <w:r>
              <w:rPr>
                <w:color w:val="000000"/>
              </w:rPr>
              <w:t xml:space="preserve">Preko različnih komunikacijskih poti bomo povezali ključne deležnike pri izvajanju Programa in potencialne upravičence ustrezno informirali o pogojih in merilih za pridobitev sredstev. </w:t>
            </w:r>
            <w:r w:rsidRPr="00DF1E49">
              <w:rPr>
                <w:color w:val="000000"/>
                <w:lang w:val="it-IT"/>
              </w:rPr>
              <w:t>Prejemnikom pa bomo zagotovili uporabne informacije o dostopnosti in razpoložljivosti pomoči. S komunikacijo rezultatov bomo razblinjali predsodke pri osebah, ki imajo zadržke pri sprejemanju pomoči.</w:t>
            </w:r>
          </w:p>
          <w:p w14:paraId="00383835" w14:textId="77777777" w:rsidR="00A77B3E" w:rsidRPr="00DF1E49" w:rsidRDefault="00A77B3E">
            <w:pPr>
              <w:spacing w:before="100"/>
              <w:rPr>
                <w:color w:val="000000"/>
                <w:lang w:val="it-IT"/>
              </w:rPr>
            </w:pPr>
          </w:p>
          <w:p w14:paraId="07D10354" w14:textId="77777777" w:rsidR="00A77B3E" w:rsidRDefault="005A111E">
            <w:pPr>
              <w:spacing w:before="100"/>
              <w:rPr>
                <w:color w:val="000000"/>
              </w:rPr>
            </w:pPr>
            <w:r>
              <w:rPr>
                <w:color w:val="000000"/>
              </w:rPr>
              <w:t>Ciljno občinstvo:</w:t>
            </w:r>
          </w:p>
          <w:p w14:paraId="78795839" w14:textId="77777777" w:rsidR="00A77B3E" w:rsidRDefault="005A111E">
            <w:pPr>
              <w:numPr>
                <w:ilvl w:val="0"/>
                <w:numId w:val="4"/>
              </w:numPr>
              <w:spacing w:before="100"/>
              <w:rPr>
                <w:color w:val="000000"/>
              </w:rPr>
            </w:pPr>
            <w:r>
              <w:rPr>
                <w:color w:val="000000"/>
              </w:rPr>
              <w:t>najbolj ranljive osebe, ki se s težavo soočajo s tveganjem revščine in drugimi kompleksnimi izzivi (nizkimi prihodki, osamljenostjo in izoliranostjo, pomanjkanjem socialne mreže, dolgotrajno brezposelnostjo, težavami v duševnem zdravju, ipd.).</w:t>
            </w:r>
          </w:p>
          <w:p w14:paraId="623A7F74" w14:textId="77777777" w:rsidR="00A77B3E" w:rsidRDefault="005A111E">
            <w:pPr>
              <w:numPr>
                <w:ilvl w:val="0"/>
                <w:numId w:val="4"/>
              </w:numPr>
              <w:spacing w:before="100"/>
              <w:rPr>
                <w:color w:val="000000"/>
              </w:rPr>
            </w:pPr>
            <w:r>
              <w:rPr>
                <w:color w:val="000000"/>
              </w:rPr>
              <w:t>širša in strokovna javnost,</w:t>
            </w:r>
          </w:p>
          <w:p w14:paraId="79386053" w14:textId="77777777" w:rsidR="00A77B3E" w:rsidRDefault="005A111E">
            <w:pPr>
              <w:numPr>
                <w:ilvl w:val="0"/>
                <w:numId w:val="4"/>
              </w:numPr>
              <w:spacing w:before="100"/>
              <w:rPr>
                <w:color w:val="000000"/>
              </w:rPr>
            </w:pPr>
            <w:r>
              <w:rPr>
                <w:color w:val="000000"/>
              </w:rPr>
              <w:t>ključni deležniki (humanitarne organizacije, organizacije, ki delujejo na socialnem področju, Evropska komisija, Evropski parlament, Urad Vlade RS za komuniciranje, Služba Vlade RS za kohezijsko politiko in razvoj ter druge relevante organizacije).</w:t>
            </w:r>
          </w:p>
          <w:p w14:paraId="02D45288" w14:textId="77777777" w:rsidR="00A77B3E" w:rsidRDefault="00A77B3E">
            <w:pPr>
              <w:spacing w:before="100"/>
              <w:rPr>
                <w:color w:val="000000"/>
              </w:rPr>
            </w:pPr>
          </w:p>
          <w:p w14:paraId="266EE0FB" w14:textId="77777777" w:rsidR="00A77B3E" w:rsidRDefault="005A111E">
            <w:pPr>
              <w:spacing w:before="100"/>
              <w:rPr>
                <w:color w:val="000000"/>
              </w:rPr>
            </w:pPr>
            <w:r>
              <w:rPr>
                <w:color w:val="000000"/>
              </w:rPr>
              <w:t>Komunikacijske poti, vključno s pojavljanjem na družbenih omrežjih:</w:t>
            </w:r>
          </w:p>
          <w:p w14:paraId="06B9D229" w14:textId="77777777" w:rsidR="00A77B3E" w:rsidRPr="00DF1E49" w:rsidRDefault="005A111E">
            <w:pPr>
              <w:numPr>
                <w:ilvl w:val="0"/>
                <w:numId w:val="5"/>
              </w:numPr>
              <w:spacing w:before="100"/>
              <w:rPr>
                <w:color w:val="000000"/>
                <w:lang w:val="it-IT"/>
              </w:rPr>
            </w:pPr>
            <w:r w:rsidRPr="00DF1E49">
              <w:rPr>
                <w:color w:val="000000"/>
                <w:lang w:val="it-IT"/>
              </w:rPr>
              <w:t>spletna stran MDDSZ, na kateri je povezava do skupne ESIF spletne strani https://evropskasredstva.si/. Spletna stran upošteva standarde dostopnosti za ranljive skupine, ki so v okviru Smernic za dostopnost spletnih vsebin (Web Content Accessibility Guidelines -WCAG),</w:t>
            </w:r>
          </w:p>
          <w:p w14:paraId="21C01243" w14:textId="77777777" w:rsidR="00A77B3E" w:rsidRDefault="005A111E">
            <w:pPr>
              <w:numPr>
                <w:ilvl w:val="0"/>
                <w:numId w:val="5"/>
              </w:numPr>
              <w:spacing w:before="100"/>
              <w:rPr>
                <w:color w:val="000000"/>
              </w:rPr>
            </w:pPr>
            <w:r>
              <w:rPr>
                <w:color w:val="000000"/>
              </w:rPr>
              <w:t>Facebook stran,</w:t>
            </w:r>
          </w:p>
          <w:p w14:paraId="608963FD" w14:textId="77777777" w:rsidR="00A77B3E" w:rsidRPr="00DF1E49" w:rsidRDefault="005A111E">
            <w:pPr>
              <w:numPr>
                <w:ilvl w:val="0"/>
                <w:numId w:val="5"/>
              </w:numPr>
              <w:spacing w:before="100"/>
              <w:rPr>
                <w:color w:val="000000"/>
                <w:lang w:val="it-IT"/>
              </w:rPr>
            </w:pPr>
            <w:r w:rsidRPr="00DF1E49">
              <w:rPr>
                <w:color w:val="000000"/>
                <w:lang w:val="it-IT"/>
              </w:rPr>
              <w:t>sodelovanje v nacionalni skupini INFORM.SI,</w:t>
            </w:r>
          </w:p>
          <w:p w14:paraId="11CDBDF9" w14:textId="77777777" w:rsidR="00A77B3E" w:rsidRPr="00DF1E49" w:rsidRDefault="005A111E">
            <w:pPr>
              <w:numPr>
                <w:ilvl w:val="0"/>
                <w:numId w:val="5"/>
              </w:numPr>
              <w:spacing w:before="100"/>
              <w:rPr>
                <w:color w:val="000000"/>
                <w:lang w:val="it-IT"/>
              </w:rPr>
            </w:pPr>
            <w:r w:rsidRPr="00DF1E49">
              <w:rPr>
                <w:color w:val="000000"/>
                <w:lang w:val="it-IT"/>
              </w:rPr>
              <w:t>spletne strani upravičencev, izbranih za razdeljevanje pomoči in izvajanje spremljevalnih ukrepov,</w:t>
            </w:r>
          </w:p>
          <w:p w14:paraId="1CFDC3DD" w14:textId="77777777" w:rsidR="00A77B3E" w:rsidRDefault="005A111E">
            <w:pPr>
              <w:numPr>
                <w:ilvl w:val="0"/>
                <w:numId w:val="5"/>
              </w:numPr>
              <w:spacing w:before="100"/>
              <w:rPr>
                <w:color w:val="000000"/>
              </w:rPr>
            </w:pPr>
            <w:r>
              <w:rPr>
                <w:color w:val="000000"/>
              </w:rPr>
              <w:t>info točka - komunikator (MDDSZ),</w:t>
            </w:r>
          </w:p>
          <w:p w14:paraId="4E4FB6EC" w14:textId="77777777" w:rsidR="00A77B3E" w:rsidRPr="00DF1E49" w:rsidRDefault="005A111E">
            <w:pPr>
              <w:numPr>
                <w:ilvl w:val="0"/>
                <w:numId w:val="5"/>
              </w:numPr>
              <w:spacing w:before="100"/>
              <w:rPr>
                <w:color w:val="000000"/>
                <w:lang w:val="it-IT"/>
              </w:rPr>
            </w:pPr>
            <w:r w:rsidRPr="00DF1E49">
              <w:rPr>
                <w:color w:val="000000"/>
                <w:lang w:val="it-IT"/>
              </w:rPr>
              <w:t>informiranje izvajalcev socialno varstvenih storitev in programov,</w:t>
            </w:r>
          </w:p>
          <w:p w14:paraId="63295A11" w14:textId="77777777" w:rsidR="00A77B3E" w:rsidRPr="00DF1E49" w:rsidRDefault="005A111E">
            <w:pPr>
              <w:numPr>
                <w:ilvl w:val="0"/>
                <w:numId w:val="5"/>
              </w:numPr>
              <w:spacing w:before="100"/>
              <w:rPr>
                <w:color w:val="000000"/>
                <w:lang w:val="it-IT"/>
              </w:rPr>
            </w:pPr>
            <w:r w:rsidRPr="00DF1E49">
              <w:rPr>
                <w:color w:val="000000"/>
                <w:lang w:val="it-IT"/>
              </w:rPr>
              <w:t>zloženke, brošure, srečanja, filmčki, plakati, ki bodo na voljo tudi na CSD.</w:t>
            </w:r>
          </w:p>
          <w:p w14:paraId="44713251" w14:textId="77777777" w:rsidR="00A77B3E" w:rsidRPr="00DF1E49" w:rsidRDefault="00A77B3E">
            <w:pPr>
              <w:spacing w:before="100"/>
              <w:rPr>
                <w:color w:val="000000"/>
                <w:lang w:val="it-IT"/>
              </w:rPr>
            </w:pPr>
          </w:p>
          <w:p w14:paraId="45A415BB" w14:textId="77777777" w:rsidR="00A77B3E" w:rsidRPr="00DF1E49" w:rsidRDefault="005A111E">
            <w:pPr>
              <w:spacing w:before="100"/>
              <w:rPr>
                <w:color w:val="000000"/>
                <w:lang w:val="it-IT"/>
              </w:rPr>
            </w:pPr>
            <w:r w:rsidRPr="00DF1E49">
              <w:rPr>
                <w:color w:val="000000"/>
                <w:lang w:val="it-IT"/>
              </w:rPr>
              <w:t>Gradiva bodo dostopna tudi osebam s posebnimi potrebami (zvočni zapisi besedil, zapis besedil v Braillovi pisavi, uporaba večjega fonda pisave, podnapisi, lahko branje in uporaba znakovnega jezika).</w:t>
            </w:r>
          </w:p>
          <w:p w14:paraId="42E28BA3" w14:textId="77777777" w:rsidR="00A77B3E" w:rsidRPr="00DF1E49" w:rsidRDefault="00A77B3E">
            <w:pPr>
              <w:spacing w:before="100"/>
              <w:rPr>
                <w:color w:val="000000"/>
                <w:lang w:val="it-IT"/>
              </w:rPr>
            </w:pPr>
          </w:p>
          <w:p w14:paraId="0813CADA" w14:textId="77777777" w:rsidR="00A77B3E" w:rsidRPr="00DF1E49" w:rsidRDefault="005A111E">
            <w:pPr>
              <w:spacing w:before="100"/>
              <w:rPr>
                <w:color w:val="000000"/>
                <w:lang w:val="it-IT"/>
              </w:rPr>
            </w:pPr>
            <w:r w:rsidRPr="00DF1E49">
              <w:rPr>
                <w:color w:val="000000"/>
                <w:lang w:val="it-IT"/>
              </w:rPr>
              <w:t>Za komuniciranje in obveščanje javnosti je namenjenih 73.500,00 EUR, kar predstavlja 5 % sredstev tehnične pomoči. Aktivnosti bodo imele vpliv na obe kohezijski regiji, zato se bodo sredstva delila po načelu 60:40.</w:t>
            </w:r>
          </w:p>
          <w:p w14:paraId="7A59D07A" w14:textId="77777777" w:rsidR="00A77B3E" w:rsidRPr="00DF1E49" w:rsidRDefault="00A77B3E">
            <w:pPr>
              <w:spacing w:before="100"/>
              <w:rPr>
                <w:color w:val="000000"/>
                <w:lang w:val="it-IT"/>
              </w:rPr>
            </w:pPr>
          </w:p>
          <w:p w14:paraId="629FDCDE" w14:textId="77777777" w:rsidR="00A77B3E" w:rsidRPr="00DF1E49" w:rsidRDefault="005A111E">
            <w:pPr>
              <w:spacing w:before="100"/>
              <w:rPr>
                <w:color w:val="000000"/>
                <w:lang w:val="it-IT"/>
              </w:rPr>
            </w:pPr>
            <w:r w:rsidRPr="00DF1E49">
              <w:rPr>
                <w:color w:val="000000"/>
                <w:lang w:val="it-IT"/>
              </w:rPr>
              <w:t>Kazalniki za spremljanje in vrednotenje ukrepov komuniciranja in obveščanja javnosti:</w:t>
            </w:r>
          </w:p>
          <w:p w14:paraId="29E916ED" w14:textId="77777777" w:rsidR="00A77B3E" w:rsidRPr="00DF1E49" w:rsidRDefault="00A77B3E">
            <w:pPr>
              <w:spacing w:before="100"/>
              <w:rPr>
                <w:color w:val="000000"/>
                <w:lang w:val="it-IT"/>
              </w:rPr>
            </w:pPr>
          </w:p>
          <w:p w14:paraId="6E21599D" w14:textId="77777777" w:rsidR="00A77B3E" w:rsidRPr="00DF1E49" w:rsidRDefault="005A111E">
            <w:pPr>
              <w:numPr>
                <w:ilvl w:val="0"/>
                <w:numId w:val="6"/>
              </w:numPr>
              <w:spacing w:before="100"/>
              <w:rPr>
                <w:color w:val="000000"/>
                <w:lang w:val="it-IT"/>
              </w:rPr>
            </w:pPr>
            <w:r w:rsidRPr="00DF1E49">
              <w:rPr>
                <w:color w:val="000000"/>
                <w:lang w:val="it-IT"/>
              </w:rPr>
              <w:t>izvedba dogodkov (srečanja, delavnice, ipd.) - 7 dogodkov,</w:t>
            </w:r>
          </w:p>
          <w:p w14:paraId="1077BBDF" w14:textId="77777777" w:rsidR="00A77B3E" w:rsidRDefault="005A111E">
            <w:pPr>
              <w:numPr>
                <w:ilvl w:val="0"/>
                <w:numId w:val="6"/>
              </w:numPr>
              <w:spacing w:before="100"/>
              <w:rPr>
                <w:color w:val="000000"/>
              </w:rPr>
            </w:pPr>
            <w:r>
              <w:rPr>
                <w:color w:val="000000"/>
              </w:rPr>
              <w:t>objave v medijih (spletna stran, TV, tiskani mediji) - 7 objav,</w:t>
            </w:r>
          </w:p>
          <w:p w14:paraId="5C6F19C6" w14:textId="77777777" w:rsidR="00A77B3E" w:rsidRDefault="005A111E">
            <w:pPr>
              <w:numPr>
                <w:ilvl w:val="0"/>
                <w:numId w:val="6"/>
              </w:numPr>
              <w:spacing w:before="100"/>
              <w:rPr>
                <w:color w:val="000000"/>
              </w:rPr>
            </w:pPr>
            <w:r>
              <w:rPr>
                <w:color w:val="000000"/>
              </w:rPr>
              <w:t>izdelava gradiv (brošure, zloženke) - 500.000 kosov,</w:t>
            </w:r>
          </w:p>
          <w:p w14:paraId="2D3CB0E0" w14:textId="77777777" w:rsidR="00A77B3E" w:rsidRDefault="005A111E">
            <w:pPr>
              <w:numPr>
                <w:ilvl w:val="0"/>
                <w:numId w:val="6"/>
              </w:numPr>
              <w:spacing w:before="100"/>
              <w:rPr>
                <w:color w:val="000000"/>
              </w:rPr>
            </w:pPr>
            <w:r>
              <w:rPr>
                <w:color w:val="000000"/>
              </w:rPr>
              <w:t>izdelava kratkih filmov (zgodbe o ljudeh) - 7 kratkih filmov,</w:t>
            </w:r>
          </w:p>
          <w:p w14:paraId="0C5A4317" w14:textId="77777777" w:rsidR="00A77B3E" w:rsidRPr="00DF1E49" w:rsidRDefault="005A111E">
            <w:pPr>
              <w:numPr>
                <w:ilvl w:val="0"/>
                <w:numId w:val="6"/>
              </w:numPr>
              <w:spacing w:before="100"/>
              <w:rPr>
                <w:color w:val="000000"/>
                <w:lang w:val="it-IT"/>
              </w:rPr>
            </w:pPr>
            <w:r w:rsidRPr="00DF1E49">
              <w:rPr>
                <w:color w:val="000000"/>
                <w:lang w:val="it-IT"/>
              </w:rPr>
              <w:t>izdelava celostne grafične podobe (logotip) - 1 celostna grafična podoba,</w:t>
            </w:r>
          </w:p>
          <w:p w14:paraId="7DCC884B" w14:textId="77777777" w:rsidR="00A77B3E" w:rsidRDefault="005A111E">
            <w:pPr>
              <w:numPr>
                <w:ilvl w:val="0"/>
                <w:numId w:val="6"/>
              </w:numPr>
              <w:spacing w:before="100"/>
              <w:rPr>
                <w:color w:val="000000"/>
              </w:rPr>
            </w:pPr>
            <w:r>
              <w:rPr>
                <w:color w:val="000000"/>
              </w:rPr>
              <w:t>vzpostavitev Facebook strani - 1 stran,</w:t>
            </w:r>
          </w:p>
          <w:p w14:paraId="2A959544" w14:textId="77777777" w:rsidR="00A77B3E" w:rsidRPr="00DF1E49" w:rsidRDefault="005A111E">
            <w:pPr>
              <w:numPr>
                <w:ilvl w:val="0"/>
                <w:numId w:val="6"/>
              </w:numPr>
              <w:spacing w:before="100"/>
              <w:rPr>
                <w:color w:val="000000"/>
                <w:lang w:val="it-IT"/>
              </w:rPr>
            </w:pPr>
            <w:r w:rsidRPr="00DF1E49">
              <w:rPr>
                <w:color w:val="000000"/>
                <w:lang w:val="it-IT"/>
              </w:rPr>
              <w:t>vzpostavitev info točke (komunikator) - 1 info točka.</w:t>
            </w:r>
          </w:p>
          <w:p w14:paraId="478C1A75" w14:textId="77777777" w:rsidR="00A77B3E" w:rsidRPr="00DF1E49" w:rsidRDefault="00A77B3E">
            <w:pPr>
              <w:spacing w:before="100"/>
              <w:rPr>
                <w:color w:val="000000"/>
                <w:lang w:val="it-IT"/>
              </w:rPr>
            </w:pPr>
          </w:p>
        </w:tc>
      </w:tr>
    </w:tbl>
    <w:p w14:paraId="7C070CF0" w14:textId="77777777" w:rsidR="00A77B3E" w:rsidRPr="00DF1E49" w:rsidRDefault="005A111E">
      <w:pPr>
        <w:pStyle w:val="Naslov1"/>
        <w:spacing w:before="100" w:after="0"/>
        <w:rPr>
          <w:rFonts w:ascii="Times New Roman" w:hAnsi="Times New Roman" w:cs="Times New Roman"/>
          <w:b w:val="0"/>
          <w:color w:val="000000"/>
          <w:sz w:val="24"/>
          <w:lang w:val="it-IT"/>
        </w:rPr>
      </w:pPr>
      <w:r w:rsidRPr="00DF1E49">
        <w:rPr>
          <w:rFonts w:ascii="Times New Roman" w:hAnsi="Times New Roman" w:cs="Times New Roman"/>
          <w:b w:val="0"/>
          <w:color w:val="000000"/>
          <w:sz w:val="24"/>
          <w:lang w:val="it-IT"/>
        </w:rPr>
        <w:lastRenderedPageBreak/>
        <w:br w:type="page"/>
      </w:r>
      <w:bookmarkStart w:id="43" w:name="_Toc256000102"/>
      <w:r w:rsidRPr="00DF1E49">
        <w:rPr>
          <w:rFonts w:ascii="Times New Roman" w:hAnsi="Times New Roman" w:cs="Times New Roman"/>
          <w:b w:val="0"/>
          <w:color w:val="000000"/>
          <w:sz w:val="24"/>
          <w:lang w:val="it-IT"/>
        </w:rPr>
        <w:lastRenderedPageBreak/>
        <w:t>8. Uporaba stroškov na enoto, pavšalnih zneskov, pavšalnih stopenj in financiranja, ki ni povezano s stroški</w:t>
      </w:r>
      <w:bookmarkEnd w:id="43"/>
    </w:p>
    <w:p w14:paraId="35883F16" w14:textId="77777777" w:rsidR="00A77B3E" w:rsidRPr="00DF1E49" w:rsidRDefault="005A111E">
      <w:pPr>
        <w:spacing w:before="100"/>
        <w:rPr>
          <w:color w:val="000000"/>
          <w:sz w:val="12"/>
          <w:lang w:val="it-IT"/>
        </w:rPr>
      </w:pPr>
      <w:r w:rsidRPr="00DF1E49">
        <w:rPr>
          <w:color w:val="000000"/>
          <w:lang w:val="it-IT"/>
        </w:rPr>
        <w:t>Sklic: člena 94 in 95 uredbe o skupnih določbah</w:t>
      </w:r>
    </w:p>
    <w:p w14:paraId="46E8F80C"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44" w:name="_Toc256000103"/>
      <w:r w:rsidRPr="00DF1E49">
        <w:rPr>
          <w:rFonts w:ascii="Times New Roman" w:hAnsi="Times New Roman" w:cs="Times New Roman"/>
          <w:b w:val="0"/>
          <w:i w:val="0"/>
          <w:color w:val="000000"/>
          <w:sz w:val="24"/>
          <w:lang w:val="it-IT"/>
        </w:rPr>
        <w:t>Tabela 14: Uporaba stroškov na enoto, pavšalnih zneskov, pavšalnih stopenj in financiranja, ki ni povezano s stroški</w:t>
      </w:r>
      <w:bookmarkEnd w:id="44"/>
    </w:p>
    <w:p w14:paraId="7280C204" w14:textId="77777777" w:rsidR="00A77B3E" w:rsidRPr="00DF1E49" w:rsidRDefault="00A77B3E">
      <w:pPr>
        <w:spacing w:before="100"/>
        <w:rPr>
          <w:color w:val="000000"/>
          <w:sz w:val="1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2"/>
        <w:gridCol w:w="354"/>
        <w:gridCol w:w="354"/>
      </w:tblGrid>
      <w:tr w:rsidR="00DE13D3" w14:paraId="50276D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A0159A" w14:textId="77777777" w:rsidR="00A77B3E" w:rsidRPr="00DF1E49" w:rsidRDefault="005A111E">
            <w:pPr>
              <w:spacing w:before="100"/>
              <w:jc w:val="center"/>
              <w:rPr>
                <w:color w:val="000000"/>
                <w:sz w:val="20"/>
                <w:lang w:val="it-IT"/>
              </w:rPr>
            </w:pPr>
            <w:r w:rsidRPr="00DF1E49">
              <w:rPr>
                <w:color w:val="000000"/>
                <w:sz w:val="20"/>
                <w:lang w:val="it-IT"/>
              </w:rPr>
              <w:t>Načrtovana uporaba členov 94 in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69A26B" w14:textId="77777777" w:rsidR="00A77B3E" w:rsidRDefault="005A111E">
            <w:pPr>
              <w:spacing w:before="100"/>
              <w:jc w:val="center"/>
              <w:rPr>
                <w:color w:val="000000"/>
                <w:sz w:val="20"/>
              </w:rPr>
            </w:pPr>
            <w:r>
              <w:rPr>
                <w:color w:val="000000"/>
                <w:sz w:val="20"/>
              </w:rPr>
              <w:t>Da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88A4CE" w14:textId="77777777" w:rsidR="00A77B3E" w:rsidRDefault="005A111E">
            <w:pPr>
              <w:spacing w:before="100"/>
              <w:jc w:val="center"/>
              <w:rPr>
                <w:color w:val="000000"/>
                <w:sz w:val="20"/>
              </w:rPr>
            </w:pPr>
            <w:r>
              <w:rPr>
                <w:color w:val="000000"/>
                <w:sz w:val="20"/>
              </w:rPr>
              <w:t>Ne</w:t>
            </w:r>
          </w:p>
        </w:tc>
      </w:tr>
      <w:tr w:rsidR="00DE13D3" w14:paraId="371B42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F22BB" w14:textId="77777777" w:rsidR="00A77B3E" w:rsidRDefault="005A111E">
            <w:pPr>
              <w:spacing w:before="100"/>
              <w:rPr>
                <w:color w:val="000000"/>
                <w:sz w:val="20"/>
              </w:rPr>
            </w:pPr>
            <w:r>
              <w:rPr>
                <w:color w:val="000000"/>
                <w:sz w:val="20"/>
              </w:rPr>
              <w:t>Od sprejetja programa se bo uporabljalo povračilo prispevka Unije na podlagi stroškov na enoto, pavšalnih zneskov in pavšalnih stopenj v okviru prednostne naloge v skladu s členom 94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40A57" w14:textId="77777777" w:rsidR="00A77B3E" w:rsidRDefault="005A111E">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DA476" w14:textId="77777777" w:rsidR="00A77B3E" w:rsidRDefault="005A111E">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r>
      <w:tr w:rsidR="00DE13D3" w14:paraId="090D42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79BFD" w14:textId="77777777" w:rsidR="00A77B3E" w:rsidRDefault="005A111E">
            <w:pPr>
              <w:spacing w:before="100"/>
              <w:rPr>
                <w:color w:val="000000"/>
                <w:sz w:val="20"/>
              </w:rPr>
            </w:pPr>
            <w:r>
              <w:rPr>
                <w:color w:val="000000"/>
                <w:sz w:val="20"/>
              </w:rPr>
              <w:t>Od sprejetja programa se bo uporabljalo povračilo prispevka Unije na podlagi financiranja, ki ni povezano s stroški, v skladu s členom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804AB" w14:textId="77777777" w:rsidR="00A77B3E" w:rsidRDefault="005A111E">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7B9BC" w14:textId="77777777" w:rsidR="00A77B3E" w:rsidRDefault="005A111E">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Pr>
                <w:color w:val="000000"/>
                <w:sz w:val="20"/>
              </w:rPr>
              <w:t xml:space="preserve"> </w:t>
            </w:r>
          </w:p>
        </w:tc>
      </w:tr>
    </w:tbl>
    <w:p w14:paraId="5CB0B33B" w14:textId="77777777" w:rsidR="00A77B3E" w:rsidRDefault="00A77B3E">
      <w:pPr>
        <w:spacing w:before="100"/>
        <w:jc w:val="center"/>
        <w:rPr>
          <w:color w:val="000000"/>
          <w:sz w:val="2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14:paraId="01D8B415" w14:textId="77777777" w:rsidR="00A77B3E" w:rsidRDefault="005A111E">
      <w:pPr>
        <w:pStyle w:val="Naslov1"/>
        <w:spacing w:before="100" w:after="0"/>
        <w:rPr>
          <w:rFonts w:ascii="Times New Roman" w:hAnsi="Times New Roman" w:cs="Times New Roman"/>
          <w:b w:val="0"/>
          <w:color w:val="000000"/>
          <w:sz w:val="24"/>
        </w:rPr>
      </w:pPr>
      <w:bookmarkStart w:id="45" w:name="_Toc256000104"/>
      <w:r>
        <w:rPr>
          <w:rFonts w:ascii="Times New Roman" w:hAnsi="Times New Roman" w:cs="Times New Roman"/>
          <w:b w:val="0"/>
          <w:color w:val="000000"/>
          <w:sz w:val="24"/>
        </w:rPr>
        <w:lastRenderedPageBreak/>
        <w:t>Dodatek 1: Prispevek Unije na podlagi stroškov na enoto, pavšalnih zneskov in pavšalnih stopenj</w:t>
      </w:r>
      <w:bookmarkEnd w:id="45"/>
    </w:p>
    <w:p w14:paraId="71812E57" w14:textId="77777777" w:rsidR="00A77B3E" w:rsidRDefault="005A111E">
      <w:pPr>
        <w:pStyle w:val="Naslov2"/>
        <w:spacing w:before="100" w:after="0"/>
        <w:rPr>
          <w:rFonts w:ascii="Times New Roman" w:hAnsi="Times New Roman" w:cs="Times New Roman"/>
          <w:b w:val="0"/>
          <w:i w:val="0"/>
          <w:color w:val="000000"/>
          <w:sz w:val="24"/>
        </w:rPr>
      </w:pPr>
      <w:bookmarkStart w:id="46" w:name="_Toc256000105"/>
      <w:r>
        <w:rPr>
          <w:rFonts w:ascii="Times New Roman" w:hAnsi="Times New Roman" w:cs="Times New Roman"/>
          <w:b w:val="0"/>
          <w:i w:val="0"/>
          <w:color w:val="000000"/>
          <w:sz w:val="24"/>
        </w:rPr>
        <w:t>A. Povzetek glavnih elementov</w:t>
      </w:r>
      <w:bookmarkEnd w:id="46"/>
    </w:p>
    <w:p w14:paraId="03DBBFF7"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997"/>
        <w:gridCol w:w="1994"/>
        <w:gridCol w:w="1995"/>
        <w:gridCol w:w="1498"/>
        <w:gridCol w:w="999"/>
        <w:gridCol w:w="998"/>
        <w:gridCol w:w="999"/>
        <w:gridCol w:w="998"/>
        <w:gridCol w:w="1497"/>
        <w:gridCol w:w="1000"/>
        <w:gridCol w:w="1199"/>
      </w:tblGrid>
      <w:tr w:rsidR="00DE13D3" w14:paraId="04B8BC1B"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60109E" w14:textId="77777777" w:rsidR="00A77B3E" w:rsidRDefault="005A111E">
            <w:pPr>
              <w:spacing w:before="100"/>
              <w:jc w:val="center"/>
              <w:rPr>
                <w:color w:val="000000"/>
                <w:sz w:val="12"/>
              </w:rPr>
            </w:pPr>
            <w:r>
              <w:rPr>
                <w:color w:val="000000"/>
                <w:sz w:val="12"/>
              </w:rPr>
              <w:t>Prednostna naloga</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6A457B" w14:textId="77777777" w:rsidR="00A77B3E" w:rsidRDefault="005A111E">
            <w:pPr>
              <w:spacing w:before="100"/>
              <w:jc w:val="center"/>
              <w:rPr>
                <w:color w:val="000000"/>
                <w:sz w:val="12"/>
              </w:rPr>
            </w:pPr>
            <w:r>
              <w:rPr>
                <w:color w:val="000000"/>
                <w:sz w:val="12"/>
              </w:rPr>
              <w:t>Sklad</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F84F7C" w14:textId="77777777" w:rsidR="00A77B3E" w:rsidRDefault="005A111E">
            <w:pPr>
              <w:spacing w:before="100"/>
              <w:jc w:val="center"/>
              <w:rPr>
                <w:color w:val="000000"/>
                <w:sz w:val="12"/>
              </w:rPr>
            </w:pPr>
            <w:r>
              <w:rPr>
                <w:color w:val="000000"/>
                <w:sz w:val="12"/>
              </w:rPr>
              <w:t>Specifični cilj</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0E0CAE" w14:textId="77777777" w:rsidR="00A77B3E" w:rsidRDefault="005A111E">
            <w:pPr>
              <w:spacing w:before="100"/>
              <w:jc w:val="center"/>
              <w:rPr>
                <w:color w:val="000000"/>
                <w:sz w:val="12"/>
              </w:rPr>
            </w:pPr>
            <w:r>
              <w:rPr>
                <w:color w:val="000000"/>
                <w:sz w:val="12"/>
              </w:rPr>
              <w:t>Kategorija regije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0957BC" w14:textId="77777777" w:rsidR="00A77B3E" w:rsidRDefault="005A111E">
            <w:pPr>
              <w:spacing w:before="100"/>
              <w:jc w:val="center"/>
              <w:rPr>
                <w:color w:val="000000"/>
                <w:sz w:val="12"/>
              </w:rPr>
            </w:pPr>
            <w:r>
              <w:rPr>
                <w:color w:val="000000"/>
                <w:sz w:val="12"/>
              </w:rPr>
              <w:t xml:space="preserve">          Ocenjeni delež skupnih dodeljenih finančnih sredstev v okviru prednostne naloge, za katerega bodo veljale poenostavljene možnosti obračunavanja stroškov, v %            </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77B01E" w14:textId="77777777" w:rsidR="00A77B3E" w:rsidRDefault="005A111E">
            <w:pPr>
              <w:spacing w:before="100"/>
              <w:jc w:val="center"/>
              <w:rPr>
                <w:color w:val="000000"/>
                <w:sz w:val="12"/>
              </w:rPr>
            </w:pPr>
            <w:r>
              <w:rPr>
                <w:color w:val="000000"/>
                <w:sz w:val="12"/>
              </w:rPr>
              <w:t>Vrste zajetih operacij</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AC7386" w14:textId="77777777" w:rsidR="00A77B3E" w:rsidRDefault="005A111E">
            <w:pPr>
              <w:spacing w:before="100"/>
              <w:jc w:val="center"/>
              <w:rPr>
                <w:color w:val="000000"/>
                <w:sz w:val="12"/>
              </w:rPr>
            </w:pPr>
            <w:r>
              <w:rPr>
                <w:color w:val="000000"/>
                <w:sz w:val="12"/>
              </w:rPr>
              <w:t>Kazalnik, ki sproži povračilo</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D8A2A3" w14:textId="77777777" w:rsidR="00A77B3E" w:rsidRDefault="005A111E">
            <w:pPr>
              <w:spacing w:before="100"/>
              <w:jc w:val="center"/>
              <w:rPr>
                <w:color w:val="000000"/>
                <w:sz w:val="12"/>
              </w:rPr>
            </w:pPr>
            <w:r>
              <w:rPr>
                <w:color w:val="000000"/>
                <w:sz w:val="12"/>
              </w:rPr>
              <w:t xml:space="preserve">            Merska enota za kazalnik, ki sproži povračilo           </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E42194" w14:textId="77777777" w:rsidR="00A77B3E" w:rsidRDefault="005A111E">
            <w:pPr>
              <w:spacing w:before="100"/>
              <w:jc w:val="center"/>
              <w:rPr>
                <w:color w:val="000000"/>
                <w:sz w:val="12"/>
              </w:rPr>
            </w:pPr>
            <w:r>
              <w:rPr>
                <w:color w:val="000000"/>
                <w:sz w:val="12"/>
              </w:rPr>
              <w:t>Vrsta poenostavljenih možnosti obračunavanja stroškov (standardna lestvica stroškov na enoto, pavšalnih zneskov ali pavšalne stopnje)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E906DB" w14:textId="77777777" w:rsidR="00A77B3E" w:rsidRDefault="005A111E">
            <w:pPr>
              <w:spacing w:before="100"/>
              <w:jc w:val="center"/>
              <w:rPr>
                <w:color w:val="000000"/>
                <w:sz w:val="12"/>
              </w:rPr>
            </w:pPr>
            <w:r>
              <w:rPr>
                <w:color w:val="000000"/>
                <w:sz w:val="12"/>
              </w:rPr>
              <w:t>Znesek (v EUR) ali odstotni delež (v primeru pavšalne stopnje) poenostavljenih možnosti obračunavanja stroškov</w:t>
            </w:r>
          </w:p>
        </w:tc>
      </w:tr>
      <w:tr w:rsidR="00DE13D3" w14:paraId="29BD76F2"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15024B"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05D0B6"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24AB50"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CCE3B2" w14:textId="77777777"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47F005" w14:textId="77777777"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CFA6D1" w14:textId="77777777" w:rsidR="00A77B3E" w:rsidRDefault="005A111E">
            <w:pPr>
              <w:spacing w:before="100"/>
              <w:jc w:val="center"/>
              <w:rPr>
                <w:color w:val="000000"/>
                <w:sz w:val="12"/>
              </w:rPr>
            </w:pPr>
            <w:r>
              <w:rPr>
                <w:color w:val="000000"/>
                <w:sz w:val="12"/>
              </w:rPr>
              <w:t>Oznaka(1)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3F5FD7" w14:textId="77777777" w:rsidR="00A77B3E" w:rsidRDefault="005A111E">
            <w:pPr>
              <w:spacing w:before="100"/>
              <w:jc w:val="center"/>
              <w:rPr>
                <w:color w:val="000000"/>
                <w:sz w:val="12"/>
              </w:rPr>
            </w:pPr>
            <w:r>
              <w:rPr>
                <w:color w:val="000000"/>
                <w:sz w:val="12"/>
              </w:rPr>
              <w:t>Opis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4C92A0" w14:textId="77777777" w:rsidR="00A77B3E" w:rsidRDefault="005A111E">
            <w:pPr>
              <w:spacing w:before="100"/>
              <w:jc w:val="center"/>
              <w:rPr>
                <w:color w:val="000000"/>
                <w:sz w:val="12"/>
              </w:rPr>
            </w:pPr>
            <w:r>
              <w:rPr>
                <w:color w:val="000000"/>
                <w:sz w:val="12"/>
              </w:rPr>
              <w:t>Oznaka(2)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A1BD99" w14:textId="77777777" w:rsidR="00A77B3E" w:rsidRDefault="005A111E">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F35645"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417E0A" w14:textId="77777777"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8D31D5" w14:textId="77777777" w:rsidR="00A77B3E" w:rsidRDefault="00A77B3E">
            <w:pPr>
              <w:spacing w:before="100"/>
              <w:jc w:val="center"/>
              <w:rPr>
                <w:color w:val="000000"/>
                <w:sz w:val="12"/>
              </w:rPr>
            </w:pPr>
          </w:p>
        </w:tc>
      </w:tr>
    </w:tbl>
    <w:p w14:paraId="6488EF17" w14:textId="77777777" w:rsidR="00A77B3E" w:rsidRDefault="005A111E">
      <w:pPr>
        <w:spacing w:before="100"/>
        <w:rPr>
          <w:color w:val="000000"/>
          <w:sz w:val="16"/>
        </w:rPr>
      </w:pPr>
      <w:r>
        <w:rPr>
          <w:color w:val="000000"/>
          <w:sz w:val="16"/>
        </w:rPr>
        <w:t>(1) To se nanaša na kodo za razsežnost „področje ukrepanja“ v tabeli 1 Priloge I k uredbi o skupnih določbah in Prilogi IV k uredbi o ESPRA.</w:t>
      </w:r>
    </w:p>
    <w:p w14:paraId="744922A3" w14:textId="77777777" w:rsidR="00A77B3E" w:rsidRDefault="005A111E">
      <w:pPr>
        <w:spacing w:before="100"/>
        <w:rPr>
          <w:color w:val="000000"/>
          <w:sz w:val="16"/>
        </w:rPr>
      </w:pPr>
      <w:r>
        <w:rPr>
          <w:color w:val="000000"/>
          <w:sz w:val="16"/>
        </w:rPr>
        <w:t>(2)  To se nanaša na kodo skupnega kazalnika, če je ustrezno.</w:t>
      </w:r>
    </w:p>
    <w:p w14:paraId="34C2CCE3" w14:textId="77777777" w:rsidR="00A77B3E" w:rsidRDefault="00A77B3E">
      <w:pPr>
        <w:spacing w:before="100"/>
        <w:rPr>
          <w:color w:val="000000"/>
        </w:rPr>
        <w:sectPr w:rsidR="00A77B3E">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14:paraId="303AFC1A" w14:textId="77777777" w:rsidR="00A77B3E" w:rsidRDefault="005A111E">
      <w:pPr>
        <w:spacing w:before="100"/>
        <w:rPr>
          <w:color w:val="000000"/>
        </w:rPr>
      </w:pPr>
      <w:r>
        <w:rPr>
          <w:color w:val="000000"/>
        </w:rPr>
        <w:lastRenderedPageBreak/>
        <w:t>Dodatek 1: Prispevek Unije na podlagi stroškov na enoto, pavšalnih zneskov in pavšalnih stopenj</w:t>
      </w:r>
    </w:p>
    <w:p w14:paraId="61E650E7"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47" w:name="_Toc256000106"/>
      <w:r w:rsidRPr="00DF1E49">
        <w:rPr>
          <w:rFonts w:ascii="Times New Roman" w:hAnsi="Times New Roman" w:cs="Times New Roman"/>
          <w:b w:val="0"/>
          <w:i w:val="0"/>
          <w:color w:val="000000"/>
          <w:sz w:val="24"/>
          <w:lang w:val="it-IT"/>
        </w:rPr>
        <w:t>B. Podrobnosti glede na vrsto operacije</w:t>
      </w:r>
      <w:bookmarkEnd w:id="47"/>
    </w:p>
    <w:p w14:paraId="5BBA977E" w14:textId="77777777" w:rsidR="00A77B3E" w:rsidRPr="00DF1E49" w:rsidRDefault="00A77B3E">
      <w:pPr>
        <w:spacing w:before="100"/>
        <w:rPr>
          <w:color w:val="000000"/>
          <w:lang w:val="it-IT"/>
        </w:rPr>
      </w:pPr>
    </w:p>
    <w:p w14:paraId="205293FE"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48" w:name="_Toc256000107"/>
      <w:r w:rsidRPr="00DF1E49">
        <w:rPr>
          <w:rFonts w:ascii="Times New Roman" w:hAnsi="Times New Roman" w:cs="Times New Roman"/>
          <w:b w:val="0"/>
          <w:i w:val="0"/>
          <w:color w:val="000000"/>
          <w:sz w:val="24"/>
          <w:lang w:val="it-IT"/>
        </w:rPr>
        <w:t>C. Izračun standardnih stroškov na enoto, pavšalnih zneskov in pavšalnih stopenj</w:t>
      </w:r>
      <w:bookmarkEnd w:id="48"/>
    </w:p>
    <w:p w14:paraId="1B043B3C"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49" w:name="_Toc256000108"/>
      <w:r w:rsidRPr="00DF1E49">
        <w:rPr>
          <w:rFonts w:ascii="Times New Roman" w:hAnsi="Times New Roman" w:cs="Times New Roman"/>
          <w:b w:val="0"/>
          <w:i w:val="0"/>
          <w:color w:val="000000"/>
          <w:sz w:val="24"/>
          <w:lang w:val="it-IT"/>
        </w:rPr>
        <w:t>1. Vir podatkov, uporabljenih za izračun standardnih stroškov na enoto, pavšalnih zneskov ali pavšalnih stopenj (kdo je predložil, zbral in evidentiral podatke; kje so podatki shranjeni; presečni datumi; potrjevanje itd.)</w:t>
      </w:r>
      <w:bookmarkEnd w:id="49"/>
    </w:p>
    <w:p w14:paraId="0C613CF9" w14:textId="77777777" w:rsidR="00A77B3E" w:rsidRPr="00DF1E49" w:rsidRDefault="00A77B3E">
      <w:pPr>
        <w:spacing w:before="100"/>
        <w:rPr>
          <w:color w:val="000000"/>
          <w:lang w:val="it-I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DE13D3" w:rsidRPr="00DF1E49" w14:paraId="307CFDF6"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96CDD93" w14:textId="77777777" w:rsidR="00A77B3E" w:rsidRPr="00DF1E49" w:rsidRDefault="00A77B3E">
            <w:pPr>
              <w:spacing w:before="100"/>
              <w:rPr>
                <w:color w:val="000000"/>
                <w:lang w:val="it-IT"/>
              </w:rPr>
            </w:pPr>
          </w:p>
        </w:tc>
      </w:tr>
    </w:tbl>
    <w:p w14:paraId="46278AA0" w14:textId="77777777" w:rsidR="00A77B3E" w:rsidRPr="00DF1E49" w:rsidRDefault="00A77B3E">
      <w:pPr>
        <w:spacing w:before="100"/>
        <w:rPr>
          <w:color w:val="000000"/>
          <w:lang w:val="it-IT"/>
        </w:rPr>
      </w:pPr>
    </w:p>
    <w:p w14:paraId="75FE082B"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50" w:name="_Toc256000109"/>
      <w:r w:rsidRPr="00DF1E49">
        <w:rPr>
          <w:rFonts w:ascii="Times New Roman" w:hAnsi="Times New Roman" w:cs="Times New Roman"/>
          <w:b w:val="0"/>
          <w:i w:val="0"/>
          <w:color w:val="000000"/>
          <w:sz w:val="24"/>
          <w:lang w:val="it-IT"/>
        </w:rPr>
        <w:t>2. Navedite, zakaj sta predlagana metoda in izračun na podlagi člena 94(2) uredbe o skupnih določbah relevantna za vrsto operacije.</w:t>
      </w:r>
      <w:bookmarkEnd w:id="50"/>
    </w:p>
    <w:p w14:paraId="2D8C56FA" w14:textId="77777777" w:rsidR="00A77B3E" w:rsidRPr="00DF1E49" w:rsidRDefault="00A77B3E">
      <w:pPr>
        <w:spacing w:before="100"/>
        <w:rPr>
          <w:color w:val="000000"/>
          <w:lang w:val="it-I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DE13D3" w:rsidRPr="00DF1E49" w14:paraId="7C540290"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BF18A4F" w14:textId="77777777" w:rsidR="00A77B3E" w:rsidRPr="00DF1E49" w:rsidRDefault="00A77B3E">
            <w:pPr>
              <w:spacing w:before="100"/>
              <w:rPr>
                <w:color w:val="000000"/>
                <w:lang w:val="it-IT"/>
              </w:rPr>
            </w:pPr>
          </w:p>
        </w:tc>
      </w:tr>
    </w:tbl>
    <w:p w14:paraId="3DF356E8" w14:textId="77777777" w:rsidR="00A77B3E" w:rsidRPr="00DF1E49" w:rsidRDefault="00A77B3E">
      <w:pPr>
        <w:spacing w:before="100"/>
        <w:rPr>
          <w:color w:val="000000"/>
          <w:lang w:val="it-IT"/>
        </w:rPr>
      </w:pPr>
    </w:p>
    <w:p w14:paraId="3B59E137"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51" w:name="_Toc256000110"/>
      <w:r w:rsidRPr="00DF1E49">
        <w:rPr>
          <w:rFonts w:ascii="Times New Roman" w:hAnsi="Times New Roman" w:cs="Times New Roman"/>
          <w:b w:val="0"/>
          <w:i w:val="0"/>
          <w:color w:val="000000"/>
          <w:sz w:val="24"/>
          <w:lang w:val="it-IT"/>
        </w:rPr>
        <w:t>3. Navedite, kako so bili izračuni narejeni, vključno zlasti s predpostavkami v smislu kakovosti ali količin. Če je to relevantno, je treba uporabiti in na zahtevo predložiti statistične dokaze in referenčne vrednosti v obliki, ki jo lahko uporabi Evropska komisija.</w:t>
      </w:r>
      <w:bookmarkEnd w:id="51"/>
    </w:p>
    <w:p w14:paraId="0221DA25" w14:textId="77777777" w:rsidR="00A77B3E" w:rsidRPr="00DF1E49" w:rsidRDefault="00A77B3E">
      <w:pPr>
        <w:spacing w:before="100"/>
        <w:rPr>
          <w:color w:val="000000"/>
          <w:lang w:val="it-I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DE13D3" w:rsidRPr="00DF1E49" w14:paraId="74B90DFE"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67BA64C7" w14:textId="77777777" w:rsidR="00A77B3E" w:rsidRPr="00DF1E49" w:rsidRDefault="00A77B3E">
            <w:pPr>
              <w:spacing w:before="100"/>
              <w:rPr>
                <w:color w:val="000000"/>
                <w:lang w:val="it-IT"/>
              </w:rPr>
            </w:pPr>
          </w:p>
        </w:tc>
      </w:tr>
    </w:tbl>
    <w:p w14:paraId="7A5AC919" w14:textId="77777777" w:rsidR="00A77B3E" w:rsidRPr="00DF1E49" w:rsidRDefault="00A77B3E">
      <w:pPr>
        <w:spacing w:before="100"/>
        <w:rPr>
          <w:color w:val="000000"/>
          <w:lang w:val="it-IT"/>
        </w:rPr>
      </w:pPr>
    </w:p>
    <w:p w14:paraId="07E1BFCB"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52" w:name="_Toc256000111"/>
      <w:r w:rsidRPr="00DF1E49">
        <w:rPr>
          <w:rFonts w:ascii="Times New Roman" w:hAnsi="Times New Roman" w:cs="Times New Roman"/>
          <w:b w:val="0"/>
          <w:i w:val="0"/>
          <w:color w:val="000000"/>
          <w:sz w:val="24"/>
          <w:lang w:val="it-IT"/>
        </w:rPr>
        <w:t>4. Pojasnite, kako ste zagotovili, da so bili v izračun standardnih stroškov na enoto, pavšalnega zneska ali pavšalne stopnje vključeni le upravičeni izdatki.</w:t>
      </w:r>
      <w:bookmarkEnd w:id="52"/>
    </w:p>
    <w:p w14:paraId="7A877E06" w14:textId="77777777" w:rsidR="00A77B3E" w:rsidRPr="00DF1E49" w:rsidRDefault="00A77B3E">
      <w:pPr>
        <w:spacing w:before="100"/>
        <w:rPr>
          <w:color w:val="000000"/>
          <w:lang w:val="it-I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DE13D3" w:rsidRPr="00DF1E49" w14:paraId="3B7DB6E7"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3AFA9D9F" w14:textId="77777777" w:rsidR="00A77B3E" w:rsidRPr="00DF1E49" w:rsidRDefault="00A77B3E">
            <w:pPr>
              <w:spacing w:before="100"/>
              <w:rPr>
                <w:color w:val="000000"/>
                <w:lang w:val="it-IT"/>
              </w:rPr>
            </w:pPr>
          </w:p>
        </w:tc>
      </w:tr>
    </w:tbl>
    <w:p w14:paraId="60DE8319" w14:textId="77777777" w:rsidR="00A77B3E" w:rsidRPr="00DF1E49" w:rsidRDefault="00A77B3E">
      <w:pPr>
        <w:spacing w:before="100"/>
        <w:rPr>
          <w:color w:val="000000"/>
          <w:lang w:val="it-IT"/>
        </w:rPr>
      </w:pPr>
    </w:p>
    <w:p w14:paraId="5358455A"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53" w:name="_Toc256000112"/>
      <w:r w:rsidRPr="00DF1E49">
        <w:rPr>
          <w:rFonts w:ascii="Times New Roman" w:hAnsi="Times New Roman" w:cs="Times New Roman"/>
          <w:b w:val="0"/>
          <w:i w:val="0"/>
          <w:color w:val="000000"/>
          <w:sz w:val="24"/>
          <w:lang w:val="it-IT"/>
        </w:rPr>
        <w:t>5. Ocena revizijskega organa v zvezi z metodologijo za izračun in zneski ter ureditvijo za zagotovitev potrjevanja, kakovosti, zbiranja in shranjevanja podatkov.</w:t>
      </w:r>
      <w:bookmarkEnd w:id="53"/>
    </w:p>
    <w:p w14:paraId="7C695D6A" w14:textId="77777777" w:rsidR="00A77B3E" w:rsidRPr="00DF1E49" w:rsidRDefault="00A77B3E">
      <w:pPr>
        <w:spacing w:before="100"/>
        <w:rPr>
          <w:color w:val="000000"/>
          <w:lang w:val="it-I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DE13D3" w:rsidRPr="00DF1E49" w14:paraId="1B1C2547"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131B5E6" w14:textId="77777777" w:rsidR="00A77B3E" w:rsidRPr="00DF1E49" w:rsidRDefault="00A77B3E">
            <w:pPr>
              <w:spacing w:before="100"/>
              <w:rPr>
                <w:color w:val="000000"/>
                <w:lang w:val="it-IT"/>
              </w:rPr>
            </w:pPr>
          </w:p>
        </w:tc>
      </w:tr>
    </w:tbl>
    <w:p w14:paraId="21CEDDDA" w14:textId="77777777" w:rsidR="00A77B3E" w:rsidRPr="00DF1E49" w:rsidRDefault="00A77B3E">
      <w:pPr>
        <w:spacing w:before="100"/>
        <w:rPr>
          <w:color w:val="000000"/>
          <w:lang w:val="it-IT"/>
        </w:rPr>
        <w:sectPr w:rsidR="00A77B3E" w:rsidRPr="00DF1E49">
          <w:pgSz w:w="16838" w:h="11906" w:orient="landscape"/>
          <w:pgMar w:top="720" w:right="720" w:bottom="864" w:left="936" w:header="288" w:footer="72" w:gutter="0"/>
          <w:cols w:space="720"/>
          <w:noEndnote/>
          <w:docGrid w:linePitch="360"/>
        </w:sectPr>
      </w:pPr>
    </w:p>
    <w:p w14:paraId="1821AB7F" w14:textId="77777777" w:rsidR="00A77B3E" w:rsidRPr="00DF1E49" w:rsidRDefault="005A111E">
      <w:pPr>
        <w:pStyle w:val="Naslov1"/>
        <w:spacing w:before="100" w:after="0"/>
        <w:rPr>
          <w:rFonts w:ascii="Times New Roman" w:hAnsi="Times New Roman" w:cs="Times New Roman"/>
          <w:b w:val="0"/>
          <w:color w:val="000000"/>
          <w:sz w:val="24"/>
          <w:lang w:val="it-IT"/>
        </w:rPr>
      </w:pPr>
      <w:bookmarkStart w:id="54" w:name="_Toc256000113"/>
      <w:r w:rsidRPr="00DF1E49">
        <w:rPr>
          <w:rFonts w:ascii="Times New Roman" w:hAnsi="Times New Roman" w:cs="Times New Roman"/>
          <w:b w:val="0"/>
          <w:color w:val="000000"/>
          <w:sz w:val="24"/>
          <w:lang w:val="it-IT"/>
        </w:rPr>
        <w:lastRenderedPageBreak/>
        <w:t>Dodatek 2: Prispevek Unije, temelječ na financiranju, ki ni povezano s stroški</w:t>
      </w:r>
      <w:bookmarkEnd w:id="54"/>
    </w:p>
    <w:p w14:paraId="5EBCDC8F" w14:textId="77777777" w:rsidR="00A77B3E" w:rsidRDefault="005A111E">
      <w:pPr>
        <w:pStyle w:val="Naslov2"/>
        <w:spacing w:before="100" w:after="0"/>
        <w:rPr>
          <w:rFonts w:ascii="Times New Roman" w:hAnsi="Times New Roman" w:cs="Times New Roman"/>
          <w:b w:val="0"/>
          <w:i w:val="0"/>
          <w:color w:val="000000"/>
          <w:sz w:val="24"/>
        </w:rPr>
      </w:pPr>
      <w:bookmarkStart w:id="55" w:name="_Toc256000114"/>
      <w:r>
        <w:rPr>
          <w:rFonts w:ascii="Times New Roman" w:hAnsi="Times New Roman" w:cs="Times New Roman"/>
          <w:b w:val="0"/>
          <w:i w:val="0"/>
          <w:color w:val="000000"/>
          <w:sz w:val="24"/>
        </w:rPr>
        <w:t>A. Povzetek glavnih elementov</w:t>
      </w:r>
      <w:bookmarkEnd w:id="55"/>
    </w:p>
    <w:p w14:paraId="0E664759"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977"/>
        <w:gridCol w:w="1948"/>
        <w:gridCol w:w="986"/>
        <w:gridCol w:w="1474"/>
        <w:gridCol w:w="981"/>
        <w:gridCol w:w="975"/>
        <w:gridCol w:w="1465"/>
        <w:gridCol w:w="981"/>
        <w:gridCol w:w="975"/>
        <w:gridCol w:w="1465"/>
        <w:gridCol w:w="1958"/>
      </w:tblGrid>
      <w:tr w:rsidR="00DE13D3" w:rsidRPr="00DF1E49" w14:paraId="768125A1"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CBDC4E" w14:textId="77777777" w:rsidR="00A77B3E" w:rsidRDefault="005A111E">
            <w:pPr>
              <w:spacing w:before="100"/>
              <w:jc w:val="center"/>
              <w:rPr>
                <w:color w:val="000000"/>
                <w:sz w:val="12"/>
              </w:rPr>
            </w:pPr>
            <w:r>
              <w:rPr>
                <w:color w:val="000000"/>
                <w:sz w:val="12"/>
              </w:rPr>
              <w:t>Prednostna naloga</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CF4DF1" w14:textId="77777777" w:rsidR="00A77B3E" w:rsidRDefault="005A111E">
            <w:pPr>
              <w:spacing w:before="100"/>
              <w:jc w:val="center"/>
              <w:rPr>
                <w:color w:val="000000"/>
                <w:sz w:val="12"/>
              </w:rPr>
            </w:pPr>
            <w:r>
              <w:rPr>
                <w:color w:val="000000"/>
                <w:sz w:val="12"/>
              </w:rPr>
              <w:t>Sklad</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EDD377" w14:textId="77777777" w:rsidR="00A77B3E" w:rsidRDefault="005A111E">
            <w:pPr>
              <w:spacing w:before="100"/>
              <w:jc w:val="center"/>
              <w:rPr>
                <w:color w:val="000000"/>
                <w:sz w:val="12"/>
              </w:rPr>
            </w:pPr>
            <w:r>
              <w:rPr>
                <w:color w:val="000000"/>
                <w:sz w:val="12"/>
              </w:rPr>
              <w:t>Specifični cilj</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D66FEC" w14:textId="77777777" w:rsidR="00A77B3E" w:rsidRDefault="005A111E">
            <w:pPr>
              <w:spacing w:before="100"/>
              <w:jc w:val="center"/>
              <w:rPr>
                <w:color w:val="000000"/>
                <w:sz w:val="12"/>
              </w:rPr>
            </w:pPr>
            <w:r>
              <w:rPr>
                <w:color w:val="000000"/>
                <w:sz w:val="12"/>
              </w:rPr>
              <w:t>Kategorija regije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907599" w14:textId="77777777" w:rsidR="00A77B3E" w:rsidRDefault="005A111E">
            <w:pPr>
              <w:spacing w:before="100"/>
              <w:jc w:val="center"/>
              <w:rPr>
                <w:color w:val="000000"/>
                <w:sz w:val="12"/>
              </w:rPr>
            </w:pPr>
            <w:r>
              <w:rPr>
                <w:color w:val="000000"/>
                <w:sz w:val="12"/>
              </w:rPr>
              <w:t>Znesek, zajet s financiranjem, ki ni povezano s stroški</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FC1F48" w14:textId="77777777" w:rsidR="00A77B3E" w:rsidRDefault="005A111E">
            <w:pPr>
              <w:spacing w:before="100"/>
              <w:jc w:val="center"/>
              <w:rPr>
                <w:color w:val="000000"/>
                <w:sz w:val="12"/>
              </w:rPr>
            </w:pPr>
            <w:r>
              <w:rPr>
                <w:color w:val="000000"/>
                <w:sz w:val="12"/>
              </w:rPr>
              <w:t>Vrste zajetih operacij</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490FE8" w14:textId="77777777" w:rsidR="00A77B3E" w:rsidRDefault="005A111E">
            <w:pPr>
              <w:spacing w:before="100"/>
              <w:jc w:val="center"/>
              <w:rPr>
                <w:color w:val="000000"/>
                <w:sz w:val="12"/>
              </w:rPr>
            </w:pPr>
            <w:r>
              <w:rPr>
                <w:color w:val="000000"/>
                <w:sz w:val="12"/>
              </w:rPr>
              <w:t>Pogoji, ki jih je treba izpolniti / rezultati, ki jih je treba doseči, za povračilo s strani Evropske komisije</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F40FC7" w14:textId="77777777" w:rsidR="00A77B3E" w:rsidRDefault="005A111E">
            <w:pPr>
              <w:spacing w:before="100"/>
              <w:jc w:val="center"/>
              <w:rPr>
                <w:color w:val="000000"/>
                <w:sz w:val="12"/>
              </w:rPr>
            </w:pPr>
            <w:r>
              <w:rPr>
                <w:color w:val="000000"/>
                <w:sz w:val="12"/>
              </w:rPr>
              <w:t>Kazalnik</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0DE642" w14:textId="77777777" w:rsidR="00A77B3E" w:rsidRDefault="005A111E">
            <w:pPr>
              <w:spacing w:before="100"/>
              <w:jc w:val="center"/>
              <w:rPr>
                <w:color w:val="000000"/>
                <w:sz w:val="12"/>
              </w:rPr>
            </w:pPr>
            <w:r>
              <w:rPr>
                <w:color w:val="000000"/>
                <w:sz w:val="12"/>
              </w:rPr>
              <w:t>Merska enota za pogoje, ki jih je treba izpolniti / rezultati, ki jih je treba doseči, za povračilo s strani Evropske komisije</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476F2E" w14:textId="77777777" w:rsidR="00A77B3E" w:rsidRPr="00DF1E49" w:rsidRDefault="005A111E">
            <w:pPr>
              <w:spacing w:before="100"/>
              <w:jc w:val="center"/>
              <w:rPr>
                <w:color w:val="000000"/>
                <w:sz w:val="12"/>
                <w:lang w:val="it-IT"/>
              </w:rPr>
            </w:pPr>
            <w:r w:rsidRPr="00DF1E49">
              <w:rPr>
                <w:color w:val="000000"/>
                <w:sz w:val="12"/>
                <w:lang w:val="it-IT"/>
              </w:rPr>
              <w:t>Načrtovana vrsta metode, ki se uporabi za povračila upravičencu (upravičencem)</w:t>
            </w:r>
          </w:p>
        </w:tc>
      </w:tr>
      <w:tr w:rsidR="00DE13D3" w14:paraId="19698D3A"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8D7D3C" w14:textId="77777777" w:rsidR="00A77B3E" w:rsidRPr="00DF1E49" w:rsidRDefault="00A77B3E">
            <w:pPr>
              <w:spacing w:before="100"/>
              <w:jc w:val="center"/>
              <w:rPr>
                <w:color w:val="000000"/>
                <w:sz w:val="12"/>
                <w:lang w:val="it-IT"/>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0A486D" w14:textId="77777777" w:rsidR="00A77B3E" w:rsidRPr="00DF1E49" w:rsidRDefault="00A77B3E">
            <w:pPr>
              <w:spacing w:before="100"/>
              <w:jc w:val="center"/>
              <w:rPr>
                <w:color w:val="000000"/>
                <w:sz w:val="12"/>
                <w:lang w:val="it-IT"/>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897171" w14:textId="77777777" w:rsidR="00A77B3E" w:rsidRPr="00DF1E49" w:rsidRDefault="00A77B3E">
            <w:pPr>
              <w:spacing w:before="100"/>
              <w:jc w:val="center"/>
              <w:rPr>
                <w:color w:val="000000"/>
                <w:sz w:val="12"/>
                <w:lang w:val="it-IT"/>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D1A8A2" w14:textId="77777777" w:rsidR="00A77B3E" w:rsidRPr="00DF1E49" w:rsidRDefault="00A77B3E">
            <w:pPr>
              <w:spacing w:before="100"/>
              <w:jc w:val="center"/>
              <w:rPr>
                <w:color w:val="000000"/>
                <w:sz w:val="12"/>
                <w:lang w:val="it-IT"/>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3F2B9C" w14:textId="77777777" w:rsidR="00A77B3E" w:rsidRPr="00DF1E49" w:rsidRDefault="00A77B3E">
            <w:pPr>
              <w:spacing w:before="100"/>
              <w:jc w:val="center"/>
              <w:rPr>
                <w:color w:val="000000"/>
                <w:sz w:val="12"/>
                <w:lang w:val="it-IT"/>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78FAED" w14:textId="77777777" w:rsidR="00A77B3E" w:rsidRDefault="005A111E">
            <w:pPr>
              <w:spacing w:before="100"/>
              <w:jc w:val="center"/>
              <w:rPr>
                <w:color w:val="000000"/>
                <w:sz w:val="12"/>
              </w:rPr>
            </w:pPr>
            <w:r>
              <w:rPr>
                <w:color w:val="000000"/>
                <w:sz w:val="12"/>
              </w:rPr>
              <w:t>Oznaka (1)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3F4E94" w14:textId="77777777" w:rsidR="00A77B3E" w:rsidRDefault="005A111E">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B686F8" w14:textId="77777777"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648DAB" w14:textId="77777777" w:rsidR="00A77B3E" w:rsidRDefault="005A111E">
            <w:pPr>
              <w:spacing w:before="100"/>
              <w:jc w:val="center"/>
              <w:rPr>
                <w:color w:val="000000"/>
                <w:sz w:val="12"/>
              </w:rPr>
            </w:pPr>
            <w:r>
              <w:rPr>
                <w:color w:val="000000"/>
                <w:sz w:val="12"/>
              </w:rPr>
              <w:t>Oznaka (2)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9BAE17" w14:textId="77777777" w:rsidR="00A77B3E" w:rsidRDefault="005A111E">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728173"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DCCB22" w14:textId="77777777" w:rsidR="00A77B3E" w:rsidRDefault="00A77B3E">
            <w:pPr>
              <w:spacing w:before="100"/>
              <w:jc w:val="center"/>
              <w:rPr>
                <w:color w:val="000000"/>
                <w:sz w:val="12"/>
              </w:rPr>
            </w:pPr>
          </w:p>
        </w:tc>
      </w:tr>
    </w:tbl>
    <w:p w14:paraId="015BB48E" w14:textId="77777777" w:rsidR="00A77B3E" w:rsidRDefault="005A111E">
      <w:pPr>
        <w:spacing w:before="100"/>
        <w:rPr>
          <w:color w:val="000000"/>
          <w:sz w:val="12"/>
        </w:rPr>
      </w:pPr>
      <w:r>
        <w:rPr>
          <w:color w:val="000000"/>
          <w:sz w:val="12"/>
        </w:rPr>
        <w:t>(1) To se nanaša na kodo za razsežnost „področje ukrepanja“ v tabeli 1 Priloge I k uredbi o skupnih določbah in Prilogi IV k uredbi o ESPRA.</w:t>
      </w:r>
    </w:p>
    <w:p w14:paraId="362A4DD4" w14:textId="77777777" w:rsidR="00A77B3E" w:rsidRDefault="005A111E">
      <w:pPr>
        <w:spacing w:before="100"/>
        <w:rPr>
          <w:color w:val="000000"/>
          <w:sz w:val="12"/>
        </w:rPr>
      </w:pPr>
      <w:r>
        <w:rPr>
          <w:color w:val="000000"/>
          <w:sz w:val="12"/>
        </w:rPr>
        <w:t>(2)  To se nanaša na kodo skupnega kazalnika, če je ustrezno.</w:t>
      </w:r>
    </w:p>
    <w:p w14:paraId="0FF8983C" w14:textId="77777777" w:rsidR="00A77B3E" w:rsidRDefault="00A77B3E">
      <w:pPr>
        <w:spacing w:before="100"/>
        <w:rPr>
          <w:color w:val="000000"/>
          <w:sz w:val="12"/>
        </w:rPr>
        <w:sectPr w:rsidR="00A77B3E">
          <w:headerReference w:type="even" r:id="rId55"/>
          <w:headerReference w:type="default" r:id="rId56"/>
          <w:footerReference w:type="even" r:id="rId57"/>
          <w:footerReference w:type="default" r:id="rId58"/>
          <w:headerReference w:type="first" r:id="rId59"/>
          <w:footerReference w:type="first" r:id="rId60"/>
          <w:pgSz w:w="16838" w:h="11906" w:orient="landscape"/>
          <w:pgMar w:top="720" w:right="720" w:bottom="864" w:left="936" w:header="288" w:footer="72" w:gutter="0"/>
          <w:cols w:space="720"/>
          <w:noEndnote/>
          <w:docGrid w:linePitch="360"/>
        </w:sectPr>
      </w:pPr>
    </w:p>
    <w:p w14:paraId="4EF4E90C" w14:textId="77777777" w:rsidR="00A77B3E" w:rsidRPr="00DF1E49" w:rsidRDefault="005A111E">
      <w:pPr>
        <w:pStyle w:val="Naslov2"/>
        <w:spacing w:before="100" w:after="0"/>
        <w:rPr>
          <w:rFonts w:ascii="Times New Roman" w:hAnsi="Times New Roman" w:cs="Times New Roman"/>
          <w:b w:val="0"/>
          <w:i w:val="0"/>
          <w:color w:val="000000"/>
          <w:sz w:val="24"/>
          <w:lang w:val="it-IT"/>
        </w:rPr>
      </w:pPr>
      <w:bookmarkStart w:id="56" w:name="_Toc256000115"/>
      <w:r w:rsidRPr="00DF1E49">
        <w:rPr>
          <w:rFonts w:ascii="Times New Roman" w:hAnsi="Times New Roman" w:cs="Times New Roman"/>
          <w:b w:val="0"/>
          <w:i w:val="0"/>
          <w:color w:val="000000"/>
          <w:sz w:val="24"/>
          <w:lang w:val="it-IT"/>
        </w:rPr>
        <w:lastRenderedPageBreak/>
        <w:t>B. Podrobnosti glede na vrsto operacije</w:t>
      </w:r>
      <w:bookmarkEnd w:id="56"/>
    </w:p>
    <w:p w14:paraId="249D547E" w14:textId="77777777" w:rsidR="00A77B3E" w:rsidRPr="00DF1E49" w:rsidRDefault="00A77B3E">
      <w:pPr>
        <w:spacing w:before="100"/>
        <w:rPr>
          <w:color w:val="000000"/>
          <w:lang w:val="it-IT"/>
        </w:rPr>
        <w:sectPr w:rsidR="00A77B3E" w:rsidRPr="00DF1E49">
          <w:headerReference w:type="even" r:id="rId61"/>
          <w:headerReference w:type="default" r:id="rId62"/>
          <w:footerReference w:type="even" r:id="rId63"/>
          <w:footerReference w:type="default" r:id="rId64"/>
          <w:headerReference w:type="first" r:id="rId65"/>
          <w:footerReference w:type="first" r:id="rId66"/>
          <w:pgSz w:w="11906" w:h="16838"/>
          <w:pgMar w:top="720" w:right="936" w:bottom="864" w:left="720" w:header="0" w:footer="72" w:gutter="0"/>
          <w:cols w:space="720"/>
          <w:noEndnote/>
          <w:docGrid w:linePitch="360"/>
        </w:sectPr>
      </w:pPr>
    </w:p>
    <w:p w14:paraId="42BF252A" w14:textId="77777777" w:rsidR="00A77B3E" w:rsidRPr="00DF1E49" w:rsidRDefault="005A111E">
      <w:pPr>
        <w:pStyle w:val="Naslov1"/>
        <w:spacing w:before="100" w:after="0"/>
        <w:rPr>
          <w:rFonts w:ascii="Times New Roman" w:hAnsi="Times New Roman" w:cs="Times New Roman"/>
          <w:b w:val="0"/>
          <w:color w:val="000000"/>
          <w:sz w:val="24"/>
          <w:lang w:val="it-IT"/>
        </w:rPr>
      </w:pPr>
      <w:bookmarkStart w:id="57" w:name="_Toc256000116"/>
      <w:r w:rsidRPr="00DF1E49">
        <w:rPr>
          <w:rFonts w:ascii="Times New Roman" w:hAnsi="Times New Roman" w:cs="Times New Roman"/>
          <w:b w:val="0"/>
          <w:color w:val="000000"/>
          <w:sz w:val="24"/>
          <w:lang w:val="it-IT"/>
        </w:rPr>
        <w:lastRenderedPageBreak/>
        <w:t>Dodatek 3: Seznam načrtovanih operacij strateškega pomena s časovnim načrtom</w:t>
      </w:r>
      <w:bookmarkEnd w:id="57"/>
    </w:p>
    <w:p w14:paraId="3A01895C" w14:textId="77777777" w:rsidR="00A77B3E" w:rsidRPr="00DF1E49" w:rsidRDefault="00A77B3E">
      <w:pPr>
        <w:spacing w:before="100"/>
        <w:rPr>
          <w:color w:val="000000"/>
          <w:sz w:val="0"/>
          <w:lang w:val="it-IT"/>
        </w:rPr>
      </w:pPr>
    </w:p>
    <w:p w14:paraId="67FF64BD" w14:textId="77777777" w:rsidR="00A77B3E" w:rsidRDefault="005A111E">
      <w:pPr>
        <w:spacing w:before="100"/>
        <w:rPr>
          <w:color w:val="000000"/>
          <w:sz w:val="0"/>
        </w:rPr>
      </w:pPr>
      <w:r>
        <w:rPr>
          <w:color w:val="000000"/>
        </w:rPr>
        <w:t>Člen 22(3) uredbe o skupnih določbah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E13D3" w14:paraId="0523D80F"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C88A17" w14:textId="77777777" w:rsidR="00A77B3E" w:rsidRDefault="00A77B3E">
            <w:pPr>
              <w:spacing w:before="100"/>
              <w:rPr>
                <w:color w:val="000000"/>
                <w:sz w:val="0"/>
              </w:rPr>
            </w:pPr>
          </w:p>
          <w:p w14:paraId="67666F9E" w14:textId="77777777" w:rsidR="00A77B3E" w:rsidRDefault="005A111E">
            <w:pPr>
              <w:spacing w:before="100"/>
              <w:rPr>
                <w:color w:val="000000"/>
              </w:rPr>
            </w:pPr>
            <w:r>
              <w:rPr>
                <w:color w:val="000000"/>
              </w:rPr>
              <w:t>Ni relevantno.</w:t>
            </w:r>
          </w:p>
          <w:p w14:paraId="5FD4E361" w14:textId="77777777" w:rsidR="00A77B3E" w:rsidRDefault="00A77B3E">
            <w:pPr>
              <w:spacing w:before="100"/>
              <w:rPr>
                <w:color w:val="000000"/>
              </w:rPr>
            </w:pPr>
          </w:p>
        </w:tc>
      </w:tr>
    </w:tbl>
    <w:p w14:paraId="4B24666E" w14:textId="77777777" w:rsidR="00A77B3E" w:rsidRDefault="00A77B3E">
      <w:pPr>
        <w:spacing w:before="100"/>
        <w:rPr>
          <w:color w:val="000000"/>
        </w:rPr>
        <w:sectPr w:rsidR="00A77B3E">
          <w:headerReference w:type="even" r:id="rId67"/>
          <w:headerReference w:type="default" r:id="rId68"/>
          <w:footerReference w:type="even" r:id="rId69"/>
          <w:footerReference w:type="default" r:id="rId70"/>
          <w:headerReference w:type="first" r:id="rId71"/>
          <w:footerReference w:type="first" r:id="rId72"/>
          <w:pgSz w:w="11906" w:h="16838"/>
          <w:pgMar w:top="720" w:right="936" w:bottom="864" w:left="720" w:header="0" w:footer="72" w:gutter="0"/>
          <w:cols w:space="720"/>
          <w:noEndnote/>
          <w:docGrid w:linePitch="360"/>
        </w:sectPr>
      </w:pPr>
    </w:p>
    <w:p w14:paraId="4E7A5F87" w14:textId="77777777" w:rsidR="00A77B3E" w:rsidRDefault="005A111E">
      <w:pPr>
        <w:pStyle w:val="Naslov1"/>
        <w:spacing w:before="100" w:after="0"/>
        <w:rPr>
          <w:rFonts w:ascii="Times New Roman" w:hAnsi="Times New Roman" w:cs="Times New Roman"/>
          <w:b w:val="0"/>
          <w:color w:val="000000"/>
          <w:sz w:val="24"/>
        </w:rPr>
      </w:pPr>
      <w:bookmarkStart w:id="58" w:name="_Toc256000117"/>
      <w:r>
        <w:rPr>
          <w:rFonts w:ascii="Times New Roman" w:hAnsi="Times New Roman" w:cs="Times New Roman"/>
          <w:b w:val="0"/>
          <w:color w:val="000000"/>
          <w:sz w:val="24"/>
        </w:rPr>
        <w:lastRenderedPageBreak/>
        <w:t>DOKUMENTI</w:t>
      </w:r>
      <w:bookmarkEnd w:id="58"/>
    </w:p>
    <w:p w14:paraId="47AFA884"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092"/>
        <w:gridCol w:w="1308"/>
        <w:gridCol w:w="2093"/>
        <w:gridCol w:w="2093"/>
        <w:gridCol w:w="2093"/>
        <w:gridCol w:w="1308"/>
        <w:gridCol w:w="2093"/>
      </w:tblGrid>
      <w:tr w:rsidR="00DE13D3" w14:paraId="4BDAFF91"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8E0AE10" w14:textId="77777777" w:rsidR="00A77B3E" w:rsidRDefault="005A111E">
            <w:pPr>
              <w:spacing w:before="100"/>
              <w:jc w:val="center"/>
              <w:rPr>
                <w:color w:val="000000"/>
                <w:sz w:val="16"/>
              </w:rPr>
            </w:pPr>
            <w:r>
              <w:rPr>
                <w:color w:val="000000"/>
                <w:sz w:val="16"/>
              </w:rPr>
              <w:t>Naslov dokumenta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E827B0C" w14:textId="77777777" w:rsidR="00A77B3E" w:rsidRDefault="005A111E">
            <w:pPr>
              <w:spacing w:before="100"/>
              <w:jc w:val="center"/>
              <w:rPr>
                <w:color w:val="000000"/>
                <w:sz w:val="16"/>
              </w:rPr>
            </w:pPr>
            <w:r>
              <w:rPr>
                <w:color w:val="000000"/>
                <w:sz w:val="16"/>
              </w:rPr>
              <w:t>Vrsta dokumenta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EB75008" w14:textId="77777777" w:rsidR="00A77B3E" w:rsidRDefault="005A111E">
            <w:pPr>
              <w:spacing w:before="100"/>
              <w:jc w:val="center"/>
              <w:rPr>
                <w:color w:val="000000"/>
                <w:sz w:val="16"/>
              </w:rPr>
            </w:pPr>
            <w:r>
              <w:rPr>
                <w:color w:val="000000"/>
                <w:sz w:val="16"/>
              </w:rPr>
              <w:t>Datum dokumenta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860020" w14:textId="77777777" w:rsidR="00A77B3E" w:rsidRDefault="005A111E">
            <w:pPr>
              <w:spacing w:before="100"/>
              <w:jc w:val="center"/>
              <w:rPr>
                <w:color w:val="000000"/>
                <w:sz w:val="16"/>
              </w:rPr>
            </w:pPr>
            <w:r>
              <w:rPr>
                <w:color w:val="000000"/>
                <w:sz w:val="16"/>
              </w:rPr>
              <w:t>Lokalna referenca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4BF8E77" w14:textId="77777777" w:rsidR="00A77B3E" w:rsidRDefault="005A111E">
            <w:pPr>
              <w:spacing w:before="100"/>
              <w:jc w:val="center"/>
              <w:rPr>
                <w:color w:val="000000"/>
                <w:sz w:val="16"/>
              </w:rPr>
            </w:pPr>
            <w:r>
              <w:rPr>
                <w:color w:val="000000"/>
                <w:sz w:val="16"/>
              </w:rPr>
              <w:t>Referenčna oznaka Komisije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3C91F9C" w14:textId="77777777" w:rsidR="00A77B3E" w:rsidRDefault="005A111E">
            <w:pPr>
              <w:spacing w:before="100"/>
              <w:jc w:val="center"/>
              <w:rPr>
                <w:color w:val="000000"/>
                <w:sz w:val="16"/>
              </w:rPr>
            </w:pPr>
            <w:r>
              <w:rPr>
                <w:color w:val="000000"/>
                <w:sz w:val="16"/>
              </w:rPr>
              <w:t>Datoteke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5CE55E0" w14:textId="77777777" w:rsidR="00A77B3E" w:rsidRDefault="005A111E">
            <w:pPr>
              <w:spacing w:before="100"/>
              <w:jc w:val="center"/>
              <w:rPr>
                <w:color w:val="000000"/>
                <w:sz w:val="16"/>
              </w:rPr>
            </w:pPr>
            <w:r>
              <w:rPr>
                <w:color w:val="000000"/>
                <w:sz w:val="16"/>
              </w:rPr>
              <w:t>Datum pošiljanja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7C140AC" w14:textId="77777777" w:rsidR="00A77B3E" w:rsidRDefault="005A111E">
            <w:pPr>
              <w:spacing w:before="100"/>
              <w:jc w:val="center"/>
              <w:rPr>
                <w:color w:val="000000"/>
                <w:sz w:val="16"/>
              </w:rPr>
            </w:pPr>
            <w:r>
              <w:rPr>
                <w:color w:val="000000"/>
                <w:sz w:val="16"/>
              </w:rPr>
              <w:t>Poslal</w:t>
            </w:r>
          </w:p>
        </w:tc>
      </w:tr>
    </w:tbl>
    <w:p w14:paraId="2B8B4BE6" w14:textId="77777777" w:rsidR="00A77B3E" w:rsidRDefault="00A77B3E">
      <w:pPr>
        <w:spacing w:before="100"/>
        <w:jc w:val="center"/>
        <w:rPr>
          <w:color w:val="000000"/>
          <w:sz w:val="16"/>
        </w:rPr>
      </w:pPr>
    </w:p>
    <w:sectPr w:rsidR="00A77B3E">
      <w:headerReference w:type="even" r:id="rId73"/>
      <w:headerReference w:type="default" r:id="rId74"/>
      <w:footerReference w:type="even" r:id="rId75"/>
      <w:footerReference w:type="default" r:id="rId76"/>
      <w:headerReference w:type="first" r:id="rId77"/>
      <w:footerReference w:type="first" r:id="rId78"/>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1FEE" w14:textId="77777777" w:rsidR="005F28E5" w:rsidRDefault="005F28E5">
      <w:r>
        <w:separator/>
      </w:r>
    </w:p>
  </w:endnote>
  <w:endnote w:type="continuationSeparator" w:id="0">
    <w:p w14:paraId="6548603C" w14:textId="77777777" w:rsidR="005F28E5" w:rsidRDefault="005F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5327" w14:textId="77777777" w:rsidR="00DE13D3" w:rsidRDefault="00DE13D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6A16" w14:textId="77777777" w:rsidR="00DE13D3" w:rsidRDefault="00DE13D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52"/>
      <w:gridCol w:w="1946"/>
      <w:gridCol w:w="4152"/>
    </w:tblGrid>
    <w:tr w:rsidR="00DE13D3" w14:paraId="5F5E86E2" w14:textId="77777777">
      <w:tc>
        <w:tcPr>
          <w:tcW w:w="0" w:type="auto"/>
          <w:tcMar>
            <w:top w:w="0" w:type="dxa"/>
            <w:left w:w="60" w:type="dxa"/>
            <w:bottom w:w="80" w:type="dxa"/>
            <w:right w:w="60" w:type="dxa"/>
          </w:tcMar>
        </w:tcPr>
        <w:p w14:paraId="33B9E663" w14:textId="77777777" w:rsidR="00DE13D3" w:rsidRDefault="005A111E">
          <w:pPr>
            <w:rPr>
              <w:b/>
              <w:color w:val="000000"/>
            </w:rPr>
          </w:pPr>
          <w:r>
            <w:rPr>
              <w:b/>
              <w:color w:val="000000"/>
              <w:sz w:val="32"/>
            </w:rPr>
            <w:t>SL</w:t>
          </w:r>
        </w:p>
      </w:tc>
      <w:tc>
        <w:tcPr>
          <w:tcW w:w="0" w:type="auto"/>
          <w:tcMar>
            <w:top w:w="0" w:type="dxa"/>
            <w:left w:w="60" w:type="dxa"/>
            <w:bottom w:w="80" w:type="dxa"/>
            <w:right w:w="60" w:type="dxa"/>
          </w:tcMar>
        </w:tcPr>
        <w:p w14:paraId="7DC834CF"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23</w:t>
          </w:r>
          <w:r>
            <w:rPr>
              <w:b/>
              <w:color w:val="000000"/>
            </w:rPr>
            <w:fldChar w:fldCharType="end"/>
          </w:r>
        </w:p>
      </w:tc>
      <w:tc>
        <w:tcPr>
          <w:tcW w:w="0" w:type="auto"/>
          <w:tcMar>
            <w:top w:w="0" w:type="dxa"/>
            <w:left w:w="60" w:type="dxa"/>
            <w:bottom w:w="80" w:type="dxa"/>
            <w:right w:w="60" w:type="dxa"/>
          </w:tcMar>
        </w:tcPr>
        <w:p w14:paraId="049EE908" w14:textId="77777777" w:rsidR="00DE13D3" w:rsidRDefault="005A111E">
          <w:pPr>
            <w:jc w:val="right"/>
            <w:rPr>
              <w:b/>
              <w:color w:val="000000"/>
              <w:sz w:val="32"/>
            </w:rPr>
          </w:pPr>
          <w:r>
            <w:rPr>
              <w:b/>
              <w:color w:val="000000"/>
              <w:sz w:val="32"/>
            </w:rPr>
            <w:t>SL</w:t>
          </w:r>
        </w:p>
      </w:tc>
    </w:tr>
  </w:tbl>
  <w:p w14:paraId="48698808" w14:textId="77777777" w:rsidR="00DE13D3" w:rsidRDefault="00DE13D3">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4858" w14:textId="77777777" w:rsidR="00DE13D3" w:rsidRDefault="00DE13D3"/>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0F7B" w14:textId="77777777" w:rsidR="00DE13D3" w:rsidRDefault="00DE13D3"/>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52"/>
      <w:gridCol w:w="1946"/>
      <w:gridCol w:w="4152"/>
    </w:tblGrid>
    <w:tr w:rsidR="00DE13D3" w14:paraId="6C4D6889" w14:textId="77777777">
      <w:tc>
        <w:tcPr>
          <w:tcW w:w="0" w:type="auto"/>
          <w:tcMar>
            <w:top w:w="0" w:type="dxa"/>
            <w:left w:w="60" w:type="dxa"/>
            <w:bottom w:w="80" w:type="dxa"/>
            <w:right w:w="60" w:type="dxa"/>
          </w:tcMar>
        </w:tcPr>
        <w:p w14:paraId="603FF463" w14:textId="77777777" w:rsidR="00DE13D3" w:rsidRDefault="005A111E">
          <w:pPr>
            <w:rPr>
              <w:b/>
              <w:color w:val="000000"/>
            </w:rPr>
          </w:pPr>
          <w:r>
            <w:rPr>
              <w:b/>
              <w:color w:val="000000"/>
              <w:sz w:val="32"/>
            </w:rPr>
            <w:t>SL</w:t>
          </w:r>
        </w:p>
      </w:tc>
      <w:tc>
        <w:tcPr>
          <w:tcW w:w="0" w:type="auto"/>
          <w:tcMar>
            <w:top w:w="0" w:type="dxa"/>
            <w:left w:w="60" w:type="dxa"/>
            <w:bottom w:w="80" w:type="dxa"/>
            <w:right w:w="60" w:type="dxa"/>
          </w:tcMar>
        </w:tcPr>
        <w:p w14:paraId="108F7154"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24</w:t>
          </w:r>
          <w:r>
            <w:rPr>
              <w:b/>
              <w:color w:val="000000"/>
            </w:rPr>
            <w:fldChar w:fldCharType="end"/>
          </w:r>
        </w:p>
      </w:tc>
      <w:tc>
        <w:tcPr>
          <w:tcW w:w="0" w:type="auto"/>
          <w:tcMar>
            <w:top w:w="0" w:type="dxa"/>
            <w:left w:w="60" w:type="dxa"/>
            <w:bottom w:w="80" w:type="dxa"/>
            <w:right w:w="60" w:type="dxa"/>
          </w:tcMar>
        </w:tcPr>
        <w:p w14:paraId="69FB648D" w14:textId="77777777" w:rsidR="00DE13D3" w:rsidRDefault="005A111E">
          <w:pPr>
            <w:jc w:val="right"/>
            <w:rPr>
              <w:b/>
              <w:color w:val="000000"/>
              <w:sz w:val="32"/>
            </w:rPr>
          </w:pPr>
          <w:r>
            <w:rPr>
              <w:b/>
              <w:color w:val="000000"/>
              <w:sz w:val="32"/>
            </w:rPr>
            <w:t>SL</w:t>
          </w:r>
        </w:p>
      </w:tc>
    </w:tr>
  </w:tbl>
  <w:p w14:paraId="70B03E83" w14:textId="77777777" w:rsidR="00DE13D3" w:rsidRDefault="00DE13D3">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CD4D" w14:textId="77777777" w:rsidR="00DE13D3" w:rsidRDefault="00DE13D3"/>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A961" w14:textId="77777777" w:rsidR="00DE13D3" w:rsidRDefault="00DE13D3"/>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52"/>
      <w:gridCol w:w="1946"/>
      <w:gridCol w:w="4152"/>
    </w:tblGrid>
    <w:tr w:rsidR="00DE13D3" w14:paraId="3D027189" w14:textId="77777777">
      <w:tc>
        <w:tcPr>
          <w:tcW w:w="0" w:type="auto"/>
          <w:tcMar>
            <w:top w:w="0" w:type="dxa"/>
            <w:left w:w="60" w:type="dxa"/>
            <w:bottom w:w="80" w:type="dxa"/>
            <w:right w:w="60" w:type="dxa"/>
          </w:tcMar>
        </w:tcPr>
        <w:p w14:paraId="7A1501AC" w14:textId="77777777" w:rsidR="00DE13D3" w:rsidRDefault="005A111E">
          <w:pPr>
            <w:rPr>
              <w:b/>
              <w:color w:val="000000"/>
            </w:rPr>
          </w:pPr>
          <w:r>
            <w:rPr>
              <w:b/>
              <w:color w:val="000000"/>
              <w:sz w:val="32"/>
            </w:rPr>
            <w:t>SL</w:t>
          </w:r>
        </w:p>
      </w:tc>
      <w:tc>
        <w:tcPr>
          <w:tcW w:w="0" w:type="auto"/>
          <w:tcMar>
            <w:top w:w="0" w:type="dxa"/>
            <w:left w:w="60" w:type="dxa"/>
            <w:bottom w:w="80" w:type="dxa"/>
            <w:right w:w="60" w:type="dxa"/>
          </w:tcMar>
        </w:tcPr>
        <w:p w14:paraId="12EE1D05"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34</w:t>
          </w:r>
          <w:r>
            <w:rPr>
              <w:b/>
              <w:color w:val="000000"/>
            </w:rPr>
            <w:fldChar w:fldCharType="end"/>
          </w:r>
        </w:p>
      </w:tc>
      <w:tc>
        <w:tcPr>
          <w:tcW w:w="0" w:type="auto"/>
          <w:tcMar>
            <w:top w:w="0" w:type="dxa"/>
            <w:left w:w="60" w:type="dxa"/>
            <w:bottom w:w="80" w:type="dxa"/>
            <w:right w:w="60" w:type="dxa"/>
          </w:tcMar>
        </w:tcPr>
        <w:p w14:paraId="53DC1445" w14:textId="77777777" w:rsidR="00DE13D3" w:rsidRDefault="005A111E">
          <w:pPr>
            <w:jc w:val="right"/>
            <w:rPr>
              <w:b/>
              <w:color w:val="000000"/>
              <w:sz w:val="32"/>
            </w:rPr>
          </w:pPr>
          <w:r>
            <w:rPr>
              <w:b/>
              <w:color w:val="000000"/>
              <w:sz w:val="32"/>
            </w:rPr>
            <w:t>SL</w:t>
          </w:r>
        </w:p>
      </w:tc>
    </w:tr>
  </w:tbl>
  <w:p w14:paraId="21CA5FC6" w14:textId="77777777" w:rsidR="00DE13D3" w:rsidRDefault="00DE13D3">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ACDE" w14:textId="77777777" w:rsidR="00DE13D3" w:rsidRDefault="00DE13D3"/>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9288" w14:textId="77777777" w:rsidR="00DE13D3" w:rsidRDefault="00DE13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34"/>
      <w:gridCol w:w="2181"/>
      <w:gridCol w:w="4035"/>
    </w:tblGrid>
    <w:tr w:rsidR="00DE13D3" w14:paraId="78ADD6A5" w14:textId="77777777">
      <w:trPr>
        <w:trHeight w:val="240"/>
      </w:trPr>
      <w:tc>
        <w:tcPr>
          <w:tcW w:w="0" w:type="auto"/>
          <w:tcMar>
            <w:left w:w="100" w:type="dxa"/>
            <w:right w:w="100" w:type="dxa"/>
          </w:tcMar>
        </w:tcPr>
        <w:p w14:paraId="39BFCF30" w14:textId="77777777" w:rsidR="00DE13D3" w:rsidRDefault="005A111E">
          <w:pPr>
            <w:rPr>
              <w:b/>
              <w:color w:val="000000"/>
            </w:rPr>
          </w:pPr>
          <w:r>
            <w:rPr>
              <w:b/>
              <w:color w:val="000000"/>
              <w:sz w:val="32"/>
            </w:rPr>
            <w:t>SL</w:t>
          </w:r>
        </w:p>
      </w:tc>
      <w:tc>
        <w:tcPr>
          <w:tcW w:w="0" w:type="auto"/>
          <w:tcMar>
            <w:left w:w="100" w:type="dxa"/>
            <w:right w:w="100" w:type="dxa"/>
          </w:tcMar>
        </w:tcPr>
        <w:p w14:paraId="0E7C3AD5"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9</w:t>
          </w:r>
          <w:r>
            <w:rPr>
              <w:b/>
              <w:color w:val="000000"/>
            </w:rPr>
            <w:fldChar w:fldCharType="end"/>
          </w:r>
        </w:p>
      </w:tc>
      <w:tc>
        <w:tcPr>
          <w:tcW w:w="0" w:type="auto"/>
          <w:tcMar>
            <w:left w:w="100" w:type="dxa"/>
            <w:right w:w="100" w:type="dxa"/>
          </w:tcMar>
        </w:tcPr>
        <w:p w14:paraId="4EE9C16A" w14:textId="77777777" w:rsidR="00DE13D3" w:rsidRDefault="005A111E">
          <w:pPr>
            <w:jc w:val="right"/>
            <w:rPr>
              <w:b/>
              <w:color w:val="000000"/>
              <w:sz w:val="32"/>
            </w:rPr>
          </w:pPr>
          <w:r>
            <w:rPr>
              <w:b/>
              <w:color w:val="000000"/>
              <w:sz w:val="32"/>
            </w:rPr>
            <w:t>SL</w:t>
          </w:r>
        </w:p>
      </w:tc>
    </w:tr>
  </w:tbl>
  <w:p w14:paraId="401081A9" w14:textId="77777777" w:rsidR="00DE13D3" w:rsidRDefault="00DE13D3">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52"/>
      <w:gridCol w:w="1946"/>
      <w:gridCol w:w="4152"/>
    </w:tblGrid>
    <w:tr w:rsidR="00DE13D3" w14:paraId="330CC0BA" w14:textId="77777777">
      <w:trPr>
        <w:trHeight w:val="160"/>
      </w:trPr>
      <w:tc>
        <w:tcPr>
          <w:tcW w:w="0" w:type="auto"/>
          <w:tcMar>
            <w:top w:w="0" w:type="dxa"/>
            <w:left w:w="60" w:type="dxa"/>
            <w:bottom w:w="80" w:type="dxa"/>
            <w:right w:w="60" w:type="dxa"/>
          </w:tcMar>
          <w:vAlign w:val="center"/>
        </w:tcPr>
        <w:p w14:paraId="26B68B6E" w14:textId="77777777" w:rsidR="00DE13D3" w:rsidRDefault="005A111E">
          <w:pPr>
            <w:rPr>
              <w:b/>
              <w:color w:val="000000"/>
            </w:rPr>
          </w:pPr>
          <w:r>
            <w:rPr>
              <w:b/>
              <w:color w:val="000000"/>
              <w:sz w:val="32"/>
            </w:rPr>
            <w:t>SL</w:t>
          </w:r>
        </w:p>
      </w:tc>
      <w:tc>
        <w:tcPr>
          <w:tcW w:w="0" w:type="auto"/>
          <w:tcMar>
            <w:top w:w="0" w:type="dxa"/>
            <w:left w:w="60" w:type="dxa"/>
            <w:bottom w:w="80" w:type="dxa"/>
            <w:right w:w="60" w:type="dxa"/>
          </w:tcMar>
          <w:vAlign w:val="center"/>
        </w:tcPr>
        <w:p w14:paraId="440FBD93"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39</w:t>
          </w:r>
          <w:r>
            <w:rPr>
              <w:b/>
              <w:color w:val="000000"/>
            </w:rPr>
            <w:fldChar w:fldCharType="end"/>
          </w:r>
        </w:p>
      </w:tc>
      <w:tc>
        <w:tcPr>
          <w:tcW w:w="0" w:type="auto"/>
          <w:tcMar>
            <w:top w:w="0" w:type="dxa"/>
            <w:left w:w="60" w:type="dxa"/>
            <w:bottom w:w="80" w:type="dxa"/>
            <w:right w:w="60" w:type="dxa"/>
          </w:tcMar>
          <w:vAlign w:val="center"/>
        </w:tcPr>
        <w:p w14:paraId="2AE8763D" w14:textId="77777777" w:rsidR="00DE13D3" w:rsidRDefault="005A111E">
          <w:pPr>
            <w:jc w:val="right"/>
            <w:rPr>
              <w:b/>
              <w:color w:val="000000"/>
              <w:sz w:val="32"/>
            </w:rPr>
          </w:pPr>
          <w:r>
            <w:rPr>
              <w:b/>
              <w:color w:val="000000"/>
              <w:sz w:val="32"/>
            </w:rPr>
            <w:t>SL</w:t>
          </w:r>
        </w:p>
      </w:tc>
    </w:tr>
  </w:tbl>
  <w:p w14:paraId="0B4A6CC0" w14:textId="77777777" w:rsidR="00DE13D3" w:rsidRDefault="00DE13D3">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7F10" w14:textId="77777777" w:rsidR="00DE13D3" w:rsidRDefault="00DE13D3"/>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FFDD" w14:textId="77777777" w:rsidR="00DE13D3" w:rsidRDefault="00DE13D3"/>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52"/>
      <w:gridCol w:w="1946"/>
      <w:gridCol w:w="4152"/>
    </w:tblGrid>
    <w:tr w:rsidR="00DE13D3" w14:paraId="39A5E071" w14:textId="77777777">
      <w:tc>
        <w:tcPr>
          <w:tcW w:w="0" w:type="auto"/>
          <w:tcMar>
            <w:top w:w="0" w:type="dxa"/>
            <w:left w:w="60" w:type="dxa"/>
            <w:bottom w:w="80" w:type="dxa"/>
            <w:right w:w="60" w:type="dxa"/>
          </w:tcMar>
        </w:tcPr>
        <w:p w14:paraId="6B3ACF67" w14:textId="77777777" w:rsidR="00DE13D3" w:rsidRDefault="005A111E">
          <w:pPr>
            <w:rPr>
              <w:b/>
              <w:color w:val="000000"/>
            </w:rPr>
          </w:pPr>
          <w:r>
            <w:rPr>
              <w:b/>
              <w:color w:val="000000"/>
              <w:sz w:val="32"/>
            </w:rPr>
            <w:t>SL</w:t>
          </w:r>
        </w:p>
      </w:tc>
      <w:tc>
        <w:tcPr>
          <w:tcW w:w="0" w:type="auto"/>
          <w:tcMar>
            <w:top w:w="0" w:type="dxa"/>
            <w:left w:w="60" w:type="dxa"/>
            <w:bottom w:w="80" w:type="dxa"/>
            <w:right w:w="60" w:type="dxa"/>
          </w:tcMar>
        </w:tcPr>
        <w:p w14:paraId="4A338074"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41</w:t>
          </w:r>
          <w:r>
            <w:rPr>
              <w:b/>
              <w:color w:val="000000"/>
            </w:rPr>
            <w:fldChar w:fldCharType="end"/>
          </w:r>
        </w:p>
      </w:tc>
      <w:tc>
        <w:tcPr>
          <w:tcW w:w="0" w:type="auto"/>
          <w:tcMar>
            <w:top w:w="0" w:type="dxa"/>
            <w:left w:w="60" w:type="dxa"/>
            <w:bottom w:w="80" w:type="dxa"/>
            <w:right w:w="60" w:type="dxa"/>
          </w:tcMar>
        </w:tcPr>
        <w:p w14:paraId="34D3BA7B" w14:textId="77777777" w:rsidR="00DE13D3" w:rsidRDefault="005A111E">
          <w:pPr>
            <w:jc w:val="right"/>
            <w:rPr>
              <w:b/>
              <w:color w:val="000000"/>
              <w:sz w:val="32"/>
            </w:rPr>
          </w:pPr>
          <w:r>
            <w:rPr>
              <w:b/>
              <w:color w:val="000000"/>
              <w:sz w:val="32"/>
            </w:rPr>
            <w:t>SL</w:t>
          </w:r>
        </w:p>
      </w:tc>
    </w:tr>
  </w:tbl>
  <w:p w14:paraId="2BA02E23" w14:textId="77777777" w:rsidR="00DE13D3" w:rsidRDefault="00DE13D3">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50D1" w14:textId="77777777" w:rsidR="00DE13D3" w:rsidRDefault="00DE13D3"/>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7A20" w14:textId="77777777" w:rsidR="00DE13D3" w:rsidRDefault="00DE13D3"/>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989"/>
      <w:gridCol w:w="2272"/>
      <w:gridCol w:w="3989"/>
    </w:tblGrid>
    <w:tr w:rsidR="00DE13D3" w14:paraId="0A5ADADF" w14:textId="77777777">
      <w:tc>
        <w:tcPr>
          <w:tcW w:w="0" w:type="auto"/>
          <w:tcMar>
            <w:top w:w="20" w:type="dxa"/>
            <w:left w:w="120" w:type="dxa"/>
            <w:bottom w:w="120" w:type="dxa"/>
            <w:right w:w="120" w:type="dxa"/>
          </w:tcMar>
          <w:vAlign w:val="bottom"/>
        </w:tcPr>
        <w:p w14:paraId="1BA21221" w14:textId="77777777" w:rsidR="00DE13D3" w:rsidRDefault="005A111E">
          <w:pPr>
            <w:rPr>
              <w:b/>
              <w:color w:val="000000"/>
            </w:rPr>
          </w:pPr>
          <w:r>
            <w:rPr>
              <w:b/>
              <w:color w:val="000000"/>
              <w:sz w:val="32"/>
            </w:rPr>
            <w:t>SL</w:t>
          </w:r>
        </w:p>
      </w:tc>
      <w:tc>
        <w:tcPr>
          <w:tcW w:w="0" w:type="auto"/>
          <w:tcMar>
            <w:top w:w="20" w:type="dxa"/>
            <w:left w:w="120" w:type="dxa"/>
            <w:bottom w:w="120" w:type="dxa"/>
            <w:right w:w="120" w:type="dxa"/>
          </w:tcMar>
          <w:vAlign w:val="bottom"/>
        </w:tcPr>
        <w:p w14:paraId="339E2AF8"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42</w:t>
          </w:r>
          <w:r>
            <w:rPr>
              <w:b/>
              <w:color w:val="000000"/>
            </w:rPr>
            <w:fldChar w:fldCharType="end"/>
          </w:r>
        </w:p>
      </w:tc>
      <w:tc>
        <w:tcPr>
          <w:tcW w:w="0" w:type="auto"/>
          <w:tcMar>
            <w:top w:w="20" w:type="dxa"/>
            <w:left w:w="120" w:type="dxa"/>
            <w:bottom w:w="120" w:type="dxa"/>
            <w:right w:w="120" w:type="dxa"/>
          </w:tcMar>
          <w:vAlign w:val="bottom"/>
        </w:tcPr>
        <w:p w14:paraId="55E341A9" w14:textId="77777777" w:rsidR="00DE13D3" w:rsidRDefault="005A111E">
          <w:pPr>
            <w:jc w:val="right"/>
            <w:rPr>
              <w:b/>
              <w:color w:val="000000"/>
              <w:sz w:val="32"/>
            </w:rPr>
          </w:pPr>
          <w:r>
            <w:rPr>
              <w:b/>
              <w:color w:val="000000"/>
              <w:sz w:val="32"/>
            </w:rPr>
            <w:t>SL</w:t>
          </w:r>
        </w:p>
      </w:tc>
    </w:tr>
  </w:tbl>
  <w:p w14:paraId="5A8B54C2" w14:textId="77777777" w:rsidR="00DE13D3" w:rsidRDefault="00DE13D3">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43C9" w14:textId="77777777" w:rsidR="00DE13D3" w:rsidRDefault="00DE13D3"/>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C689" w14:textId="77777777" w:rsidR="00DE13D3" w:rsidRDefault="00DE13D3"/>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52"/>
      <w:gridCol w:w="1946"/>
      <w:gridCol w:w="4152"/>
    </w:tblGrid>
    <w:tr w:rsidR="00DE13D3" w14:paraId="755A4BE7" w14:textId="77777777">
      <w:tc>
        <w:tcPr>
          <w:tcW w:w="0" w:type="auto"/>
          <w:tcMar>
            <w:top w:w="0" w:type="dxa"/>
            <w:left w:w="60" w:type="dxa"/>
            <w:bottom w:w="80" w:type="dxa"/>
            <w:right w:w="60" w:type="dxa"/>
          </w:tcMar>
          <w:vAlign w:val="center"/>
        </w:tcPr>
        <w:p w14:paraId="57E04ACA" w14:textId="77777777" w:rsidR="00DE13D3" w:rsidRDefault="005A111E">
          <w:pPr>
            <w:rPr>
              <w:b/>
              <w:color w:val="000000"/>
            </w:rPr>
          </w:pPr>
          <w:r>
            <w:rPr>
              <w:b/>
              <w:color w:val="000000"/>
              <w:sz w:val="32"/>
            </w:rPr>
            <w:t>SL</w:t>
          </w:r>
        </w:p>
      </w:tc>
      <w:tc>
        <w:tcPr>
          <w:tcW w:w="0" w:type="auto"/>
          <w:tcMar>
            <w:top w:w="0" w:type="dxa"/>
            <w:left w:w="60" w:type="dxa"/>
            <w:bottom w:w="80" w:type="dxa"/>
            <w:right w:w="60" w:type="dxa"/>
          </w:tcMar>
          <w:vAlign w:val="center"/>
        </w:tcPr>
        <w:p w14:paraId="52A21B12"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43</w:t>
          </w:r>
          <w:r>
            <w:rPr>
              <w:b/>
              <w:color w:val="000000"/>
            </w:rPr>
            <w:fldChar w:fldCharType="end"/>
          </w:r>
        </w:p>
      </w:tc>
      <w:tc>
        <w:tcPr>
          <w:tcW w:w="0" w:type="auto"/>
          <w:tcMar>
            <w:top w:w="0" w:type="dxa"/>
            <w:left w:w="60" w:type="dxa"/>
            <w:bottom w:w="80" w:type="dxa"/>
            <w:right w:w="60" w:type="dxa"/>
          </w:tcMar>
          <w:vAlign w:val="center"/>
        </w:tcPr>
        <w:p w14:paraId="2FF56CC3" w14:textId="77777777" w:rsidR="00DE13D3" w:rsidRDefault="005A111E">
          <w:pPr>
            <w:jc w:val="right"/>
            <w:rPr>
              <w:b/>
              <w:color w:val="000000"/>
              <w:sz w:val="32"/>
            </w:rPr>
          </w:pPr>
          <w:r>
            <w:rPr>
              <w:b/>
              <w:color w:val="000000"/>
              <w:sz w:val="32"/>
            </w:rPr>
            <w:t>SL</w:t>
          </w:r>
        </w:p>
      </w:tc>
    </w:tr>
  </w:tbl>
  <w:p w14:paraId="241EDFAB" w14:textId="77777777" w:rsidR="00DE13D3" w:rsidRDefault="00DE13D3">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C02C" w14:textId="77777777" w:rsidR="00DE13D3" w:rsidRDefault="00DE13D3"/>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38C2" w14:textId="77777777" w:rsidR="00DE13D3" w:rsidRDefault="00DE13D3"/>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7221" w14:textId="77777777" w:rsidR="00DE13D3" w:rsidRDefault="00DE13D3"/>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52"/>
      <w:gridCol w:w="1946"/>
      <w:gridCol w:w="4152"/>
    </w:tblGrid>
    <w:tr w:rsidR="00DE13D3" w14:paraId="04179FBD" w14:textId="77777777">
      <w:tc>
        <w:tcPr>
          <w:tcW w:w="0" w:type="auto"/>
          <w:tcMar>
            <w:top w:w="0" w:type="dxa"/>
            <w:left w:w="60" w:type="dxa"/>
            <w:bottom w:w="80" w:type="dxa"/>
            <w:right w:w="60" w:type="dxa"/>
          </w:tcMar>
          <w:vAlign w:val="center"/>
        </w:tcPr>
        <w:p w14:paraId="484F6490" w14:textId="77777777" w:rsidR="00DE13D3" w:rsidRDefault="005A111E">
          <w:pPr>
            <w:rPr>
              <w:b/>
              <w:color w:val="000000"/>
            </w:rPr>
          </w:pPr>
          <w:r>
            <w:rPr>
              <w:b/>
              <w:color w:val="000000"/>
              <w:sz w:val="32"/>
            </w:rPr>
            <w:t>SL</w:t>
          </w:r>
        </w:p>
      </w:tc>
      <w:tc>
        <w:tcPr>
          <w:tcW w:w="0" w:type="auto"/>
          <w:tcMar>
            <w:top w:w="0" w:type="dxa"/>
            <w:left w:w="60" w:type="dxa"/>
            <w:bottom w:w="80" w:type="dxa"/>
            <w:right w:w="60" w:type="dxa"/>
          </w:tcMar>
          <w:vAlign w:val="center"/>
        </w:tcPr>
        <w:p w14:paraId="28D1CC45"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44</w:t>
          </w:r>
          <w:r>
            <w:rPr>
              <w:b/>
              <w:color w:val="000000"/>
            </w:rPr>
            <w:fldChar w:fldCharType="end"/>
          </w:r>
        </w:p>
      </w:tc>
      <w:tc>
        <w:tcPr>
          <w:tcW w:w="0" w:type="auto"/>
          <w:tcMar>
            <w:top w:w="0" w:type="dxa"/>
            <w:left w:w="60" w:type="dxa"/>
            <w:bottom w:w="80" w:type="dxa"/>
            <w:right w:w="60" w:type="dxa"/>
          </w:tcMar>
          <w:vAlign w:val="center"/>
        </w:tcPr>
        <w:p w14:paraId="13963262" w14:textId="77777777" w:rsidR="00DE13D3" w:rsidRDefault="005A111E">
          <w:pPr>
            <w:jc w:val="right"/>
            <w:rPr>
              <w:b/>
              <w:color w:val="000000"/>
              <w:sz w:val="32"/>
            </w:rPr>
          </w:pPr>
          <w:r>
            <w:rPr>
              <w:b/>
              <w:color w:val="000000"/>
              <w:sz w:val="32"/>
            </w:rPr>
            <w:t>SL</w:t>
          </w:r>
        </w:p>
      </w:tc>
    </w:tr>
  </w:tbl>
  <w:p w14:paraId="1957C9BD" w14:textId="77777777" w:rsidR="00DE13D3" w:rsidRDefault="00DE13D3">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5439" w14:textId="77777777" w:rsidR="00DE13D3" w:rsidRDefault="00DE13D3"/>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0E27" w14:textId="77777777" w:rsidR="00DE13D3" w:rsidRDefault="00DE13D3"/>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52"/>
      <w:gridCol w:w="1946"/>
      <w:gridCol w:w="4152"/>
    </w:tblGrid>
    <w:tr w:rsidR="00DE13D3" w14:paraId="4AD1A136" w14:textId="77777777">
      <w:trPr>
        <w:trHeight w:val="160"/>
      </w:trPr>
      <w:tc>
        <w:tcPr>
          <w:tcW w:w="0" w:type="auto"/>
          <w:tcMar>
            <w:top w:w="0" w:type="dxa"/>
            <w:left w:w="60" w:type="dxa"/>
            <w:bottom w:w="80" w:type="dxa"/>
            <w:right w:w="60" w:type="dxa"/>
          </w:tcMar>
          <w:vAlign w:val="center"/>
        </w:tcPr>
        <w:p w14:paraId="7647575A" w14:textId="77777777" w:rsidR="00DE13D3" w:rsidRDefault="005A111E">
          <w:pPr>
            <w:rPr>
              <w:b/>
              <w:color w:val="000000"/>
            </w:rPr>
          </w:pPr>
          <w:r>
            <w:rPr>
              <w:b/>
              <w:color w:val="000000"/>
              <w:sz w:val="32"/>
            </w:rPr>
            <w:t>SL</w:t>
          </w:r>
        </w:p>
      </w:tc>
      <w:tc>
        <w:tcPr>
          <w:tcW w:w="0" w:type="auto"/>
          <w:tcMar>
            <w:top w:w="0" w:type="dxa"/>
            <w:left w:w="60" w:type="dxa"/>
            <w:bottom w:w="80" w:type="dxa"/>
            <w:right w:w="60" w:type="dxa"/>
          </w:tcMar>
          <w:vAlign w:val="center"/>
        </w:tcPr>
        <w:p w14:paraId="29EF20E4"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45</w:t>
          </w:r>
          <w:r>
            <w:rPr>
              <w:b/>
              <w:color w:val="000000"/>
            </w:rPr>
            <w:fldChar w:fldCharType="end"/>
          </w:r>
        </w:p>
      </w:tc>
      <w:tc>
        <w:tcPr>
          <w:tcW w:w="0" w:type="auto"/>
          <w:tcMar>
            <w:top w:w="0" w:type="dxa"/>
            <w:left w:w="60" w:type="dxa"/>
            <w:bottom w:w="80" w:type="dxa"/>
            <w:right w:w="60" w:type="dxa"/>
          </w:tcMar>
          <w:vAlign w:val="center"/>
        </w:tcPr>
        <w:p w14:paraId="55CD94C8" w14:textId="77777777" w:rsidR="00DE13D3" w:rsidRDefault="005A111E">
          <w:pPr>
            <w:jc w:val="right"/>
            <w:rPr>
              <w:b/>
              <w:color w:val="000000"/>
              <w:sz w:val="32"/>
            </w:rPr>
          </w:pPr>
          <w:r>
            <w:rPr>
              <w:b/>
              <w:color w:val="000000"/>
              <w:sz w:val="32"/>
            </w:rPr>
            <w:t>SL</w:t>
          </w:r>
        </w:p>
      </w:tc>
    </w:tr>
  </w:tbl>
  <w:p w14:paraId="67226550" w14:textId="77777777" w:rsidR="00DE13D3" w:rsidRDefault="00DE13D3">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C34" w14:textId="77777777" w:rsidR="00DE13D3" w:rsidRDefault="00DE13D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491D" w14:textId="77777777" w:rsidR="00DE13D3" w:rsidRDefault="00DE13D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52"/>
      <w:gridCol w:w="1946"/>
      <w:gridCol w:w="4152"/>
    </w:tblGrid>
    <w:tr w:rsidR="00DE13D3" w14:paraId="3226EC9E" w14:textId="77777777">
      <w:trPr>
        <w:trHeight w:val="160"/>
      </w:trPr>
      <w:tc>
        <w:tcPr>
          <w:tcW w:w="0" w:type="auto"/>
          <w:tcMar>
            <w:top w:w="0" w:type="dxa"/>
            <w:left w:w="60" w:type="dxa"/>
            <w:bottom w:w="80" w:type="dxa"/>
            <w:right w:w="60" w:type="dxa"/>
          </w:tcMar>
          <w:vAlign w:val="center"/>
        </w:tcPr>
        <w:p w14:paraId="71EDE355" w14:textId="77777777" w:rsidR="00DE13D3" w:rsidRDefault="005A111E">
          <w:pPr>
            <w:rPr>
              <w:b/>
              <w:color w:val="000000"/>
            </w:rPr>
          </w:pPr>
          <w:r>
            <w:rPr>
              <w:b/>
              <w:color w:val="000000"/>
              <w:sz w:val="32"/>
            </w:rPr>
            <w:t>SL</w:t>
          </w:r>
        </w:p>
      </w:tc>
      <w:tc>
        <w:tcPr>
          <w:tcW w:w="0" w:type="auto"/>
          <w:tcMar>
            <w:top w:w="0" w:type="dxa"/>
            <w:left w:w="60" w:type="dxa"/>
            <w:bottom w:w="80" w:type="dxa"/>
            <w:right w:w="60" w:type="dxa"/>
          </w:tcMar>
          <w:vAlign w:val="center"/>
        </w:tcPr>
        <w:p w14:paraId="4E371DFA"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11</w:t>
          </w:r>
          <w:r>
            <w:rPr>
              <w:b/>
              <w:color w:val="000000"/>
            </w:rPr>
            <w:fldChar w:fldCharType="end"/>
          </w:r>
        </w:p>
      </w:tc>
      <w:tc>
        <w:tcPr>
          <w:tcW w:w="0" w:type="auto"/>
          <w:tcMar>
            <w:top w:w="0" w:type="dxa"/>
            <w:left w:w="60" w:type="dxa"/>
            <w:bottom w:w="80" w:type="dxa"/>
            <w:right w:w="60" w:type="dxa"/>
          </w:tcMar>
          <w:vAlign w:val="center"/>
        </w:tcPr>
        <w:p w14:paraId="3385E174" w14:textId="77777777" w:rsidR="00DE13D3" w:rsidRDefault="005A111E">
          <w:pPr>
            <w:jc w:val="right"/>
            <w:rPr>
              <w:b/>
              <w:color w:val="000000"/>
              <w:sz w:val="32"/>
            </w:rPr>
          </w:pPr>
          <w:r>
            <w:rPr>
              <w:b/>
              <w:color w:val="000000"/>
              <w:sz w:val="32"/>
            </w:rPr>
            <w:t>SL</w:t>
          </w:r>
        </w:p>
      </w:tc>
    </w:tr>
  </w:tbl>
  <w:p w14:paraId="1A503C32" w14:textId="77777777" w:rsidR="00DE13D3" w:rsidRDefault="00DE13D3">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A9D0" w14:textId="77777777" w:rsidR="00DE13D3" w:rsidRDefault="00DE13D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747" w14:textId="77777777" w:rsidR="00DE13D3" w:rsidRDefault="00DE13D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34"/>
      <w:gridCol w:w="2181"/>
      <w:gridCol w:w="4035"/>
    </w:tblGrid>
    <w:tr w:rsidR="00DE13D3" w14:paraId="5B01750D" w14:textId="77777777">
      <w:trPr>
        <w:trHeight w:val="160"/>
      </w:trPr>
      <w:tc>
        <w:tcPr>
          <w:tcW w:w="0" w:type="auto"/>
          <w:tcMar>
            <w:top w:w="0" w:type="dxa"/>
            <w:left w:w="100" w:type="dxa"/>
            <w:bottom w:w="80" w:type="dxa"/>
            <w:right w:w="100" w:type="dxa"/>
          </w:tcMar>
        </w:tcPr>
        <w:p w14:paraId="455078CD" w14:textId="77777777" w:rsidR="00DE13D3" w:rsidRDefault="005A111E">
          <w:pPr>
            <w:rPr>
              <w:b/>
              <w:color w:val="000000"/>
            </w:rPr>
          </w:pPr>
          <w:r>
            <w:rPr>
              <w:b/>
              <w:color w:val="000000"/>
              <w:sz w:val="32"/>
            </w:rPr>
            <w:t>SL</w:t>
          </w:r>
        </w:p>
      </w:tc>
      <w:tc>
        <w:tcPr>
          <w:tcW w:w="0" w:type="auto"/>
          <w:tcMar>
            <w:top w:w="0" w:type="dxa"/>
            <w:left w:w="100" w:type="dxa"/>
            <w:bottom w:w="80" w:type="dxa"/>
            <w:right w:w="100" w:type="dxa"/>
          </w:tcMar>
        </w:tcPr>
        <w:p w14:paraId="3B3739D3" w14:textId="77777777" w:rsidR="00DE13D3" w:rsidRDefault="005A111E">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18</w:t>
          </w:r>
          <w:r>
            <w:rPr>
              <w:b/>
              <w:color w:val="000000"/>
            </w:rPr>
            <w:fldChar w:fldCharType="end"/>
          </w:r>
        </w:p>
      </w:tc>
      <w:tc>
        <w:tcPr>
          <w:tcW w:w="0" w:type="auto"/>
          <w:tcMar>
            <w:top w:w="0" w:type="dxa"/>
            <w:left w:w="100" w:type="dxa"/>
            <w:bottom w:w="80" w:type="dxa"/>
            <w:right w:w="100" w:type="dxa"/>
          </w:tcMar>
        </w:tcPr>
        <w:p w14:paraId="50B215F7" w14:textId="77777777" w:rsidR="00DE13D3" w:rsidRDefault="005A111E">
          <w:pPr>
            <w:jc w:val="right"/>
            <w:rPr>
              <w:b/>
              <w:color w:val="000000"/>
              <w:sz w:val="32"/>
            </w:rPr>
          </w:pPr>
          <w:r>
            <w:rPr>
              <w:b/>
              <w:color w:val="000000"/>
              <w:sz w:val="32"/>
            </w:rPr>
            <w:t>SL</w:t>
          </w:r>
        </w:p>
      </w:tc>
    </w:tr>
  </w:tbl>
  <w:p w14:paraId="61F46922" w14:textId="77777777" w:rsidR="00DE13D3" w:rsidRDefault="00DE13D3">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08EB" w14:textId="77777777" w:rsidR="00DE13D3" w:rsidRDefault="00DE13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D6BB" w14:textId="77777777" w:rsidR="005F28E5" w:rsidRDefault="005F28E5">
      <w:r>
        <w:separator/>
      </w:r>
    </w:p>
  </w:footnote>
  <w:footnote w:type="continuationSeparator" w:id="0">
    <w:p w14:paraId="4C522E61" w14:textId="77777777" w:rsidR="005F28E5" w:rsidRDefault="005F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1171" w14:textId="77777777" w:rsidR="00DE13D3" w:rsidRDefault="00DE13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245A" w14:textId="77777777" w:rsidR="00DE13D3" w:rsidRDefault="00DE13D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A47E" w14:textId="77777777" w:rsidR="00DE13D3" w:rsidRDefault="00DE13D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B859" w14:textId="77777777" w:rsidR="00DE13D3" w:rsidRDefault="00DE13D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5310" w14:textId="77777777" w:rsidR="00DE13D3" w:rsidRDefault="00DE13D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A700" w14:textId="77777777" w:rsidR="00DE13D3" w:rsidRDefault="00DE13D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8BAC" w14:textId="77777777" w:rsidR="00DE13D3" w:rsidRDefault="00DE13D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A0C1" w14:textId="77777777" w:rsidR="00DE13D3" w:rsidRDefault="00DE13D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FB12" w14:textId="77777777" w:rsidR="00DE13D3" w:rsidRDefault="00DE13D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AB02" w14:textId="77777777" w:rsidR="00DE13D3" w:rsidRDefault="00DE13D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471B" w14:textId="77777777" w:rsidR="00DE13D3" w:rsidRDefault="00DE1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8B78" w14:textId="77777777" w:rsidR="00DE13D3" w:rsidRDefault="00DE13D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7B78" w14:textId="77777777" w:rsidR="00DE13D3" w:rsidRDefault="00DE13D3"/>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7DCC" w14:textId="77777777" w:rsidR="00DE13D3" w:rsidRDefault="00DE13D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5965" w14:textId="77777777" w:rsidR="00DE13D3" w:rsidRDefault="00DE13D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3A1" w14:textId="77777777" w:rsidR="00DE13D3" w:rsidRDefault="00DE13D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F03C" w14:textId="77777777" w:rsidR="00DE13D3" w:rsidRDefault="00DE13D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A542" w14:textId="77777777" w:rsidR="00DE13D3" w:rsidRDefault="00DE13D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342F" w14:textId="77777777" w:rsidR="00DE13D3" w:rsidRDefault="00DE13D3"/>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9BC9" w14:textId="77777777" w:rsidR="00DE13D3" w:rsidRDefault="00DE13D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3D43" w14:textId="77777777" w:rsidR="00DE13D3" w:rsidRDefault="00DE13D3"/>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0583" w14:textId="77777777" w:rsidR="00DE13D3" w:rsidRDefault="00DE13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7AC7" w14:textId="77777777" w:rsidR="00DE13D3" w:rsidRDefault="00DE13D3"/>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FD5E" w14:textId="77777777" w:rsidR="00DE13D3" w:rsidRDefault="00DE13D3"/>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986D" w14:textId="77777777" w:rsidR="00DE13D3" w:rsidRDefault="00DE13D3"/>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2F0B" w14:textId="77777777" w:rsidR="00DE13D3" w:rsidRDefault="00DE13D3"/>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9F7B" w14:textId="77777777" w:rsidR="00DE13D3" w:rsidRDefault="00DE13D3"/>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FDC5" w14:textId="77777777" w:rsidR="00DE13D3" w:rsidRDefault="00DE13D3"/>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4A05" w14:textId="77777777" w:rsidR="00DE13D3" w:rsidRDefault="00DE13D3"/>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3113" w14:textId="77777777" w:rsidR="00DE13D3" w:rsidRDefault="00DE1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AD5D" w14:textId="77777777" w:rsidR="00DE13D3" w:rsidRDefault="00DE1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4FC0" w14:textId="77777777" w:rsidR="00DE13D3" w:rsidRDefault="00DE13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7F0C" w14:textId="77777777" w:rsidR="00DE13D3" w:rsidRDefault="00DE13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9AAF" w14:textId="77777777" w:rsidR="00DE13D3" w:rsidRDefault="00DE13D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24CC" w14:textId="77777777" w:rsidR="00DE13D3" w:rsidRDefault="00DE13D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FAB3" w14:textId="77777777" w:rsidR="00DE13D3" w:rsidRDefault="00DE13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2A8CD2E">
      <w:start w:val="1"/>
      <w:numFmt w:val="bullet"/>
      <w:lvlText w:val=""/>
      <w:lvlJc w:val="left"/>
      <w:pPr>
        <w:ind w:left="720" w:hanging="360"/>
      </w:pPr>
      <w:rPr>
        <w:rFonts w:ascii="Symbol" w:hAnsi="Symbol"/>
      </w:rPr>
    </w:lvl>
    <w:lvl w:ilvl="1" w:tplc="E9D8BE86">
      <w:start w:val="1"/>
      <w:numFmt w:val="bullet"/>
      <w:lvlText w:val="o"/>
      <w:lvlJc w:val="left"/>
      <w:pPr>
        <w:tabs>
          <w:tab w:val="num" w:pos="1440"/>
        </w:tabs>
        <w:ind w:left="1440" w:hanging="360"/>
      </w:pPr>
      <w:rPr>
        <w:rFonts w:ascii="Courier New" w:hAnsi="Courier New"/>
      </w:rPr>
    </w:lvl>
    <w:lvl w:ilvl="2" w:tplc="90F4715C">
      <w:start w:val="1"/>
      <w:numFmt w:val="bullet"/>
      <w:lvlText w:val=""/>
      <w:lvlJc w:val="left"/>
      <w:pPr>
        <w:tabs>
          <w:tab w:val="num" w:pos="2160"/>
        </w:tabs>
        <w:ind w:left="2160" w:hanging="360"/>
      </w:pPr>
      <w:rPr>
        <w:rFonts w:ascii="Wingdings" w:hAnsi="Wingdings"/>
      </w:rPr>
    </w:lvl>
    <w:lvl w:ilvl="3" w:tplc="45F8A134">
      <w:start w:val="1"/>
      <w:numFmt w:val="bullet"/>
      <w:lvlText w:val=""/>
      <w:lvlJc w:val="left"/>
      <w:pPr>
        <w:tabs>
          <w:tab w:val="num" w:pos="2880"/>
        </w:tabs>
        <w:ind w:left="2880" w:hanging="360"/>
      </w:pPr>
      <w:rPr>
        <w:rFonts w:ascii="Symbol" w:hAnsi="Symbol"/>
      </w:rPr>
    </w:lvl>
    <w:lvl w:ilvl="4" w:tplc="F41206A6">
      <w:start w:val="1"/>
      <w:numFmt w:val="bullet"/>
      <w:lvlText w:val="o"/>
      <w:lvlJc w:val="left"/>
      <w:pPr>
        <w:tabs>
          <w:tab w:val="num" w:pos="3600"/>
        </w:tabs>
        <w:ind w:left="3600" w:hanging="360"/>
      </w:pPr>
      <w:rPr>
        <w:rFonts w:ascii="Courier New" w:hAnsi="Courier New"/>
      </w:rPr>
    </w:lvl>
    <w:lvl w:ilvl="5" w:tplc="51D4BA04">
      <w:start w:val="1"/>
      <w:numFmt w:val="bullet"/>
      <w:lvlText w:val=""/>
      <w:lvlJc w:val="left"/>
      <w:pPr>
        <w:tabs>
          <w:tab w:val="num" w:pos="4320"/>
        </w:tabs>
        <w:ind w:left="4320" w:hanging="360"/>
      </w:pPr>
      <w:rPr>
        <w:rFonts w:ascii="Wingdings" w:hAnsi="Wingdings"/>
      </w:rPr>
    </w:lvl>
    <w:lvl w:ilvl="6" w:tplc="AF12ECCA">
      <w:start w:val="1"/>
      <w:numFmt w:val="bullet"/>
      <w:lvlText w:val=""/>
      <w:lvlJc w:val="left"/>
      <w:pPr>
        <w:tabs>
          <w:tab w:val="num" w:pos="5040"/>
        </w:tabs>
        <w:ind w:left="5040" w:hanging="360"/>
      </w:pPr>
      <w:rPr>
        <w:rFonts w:ascii="Symbol" w:hAnsi="Symbol"/>
      </w:rPr>
    </w:lvl>
    <w:lvl w:ilvl="7" w:tplc="B386B050">
      <w:start w:val="1"/>
      <w:numFmt w:val="bullet"/>
      <w:lvlText w:val="o"/>
      <w:lvlJc w:val="left"/>
      <w:pPr>
        <w:tabs>
          <w:tab w:val="num" w:pos="5760"/>
        </w:tabs>
        <w:ind w:left="5760" w:hanging="360"/>
      </w:pPr>
      <w:rPr>
        <w:rFonts w:ascii="Courier New" w:hAnsi="Courier New"/>
      </w:rPr>
    </w:lvl>
    <w:lvl w:ilvl="8" w:tplc="95068A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87818A0">
      <w:start w:val="1"/>
      <w:numFmt w:val="bullet"/>
      <w:lvlText w:val=""/>
      <w:lvlJc w:val="left"/>
      <w:pPr>
        <w:ind w:left="720" w:hanging="360"/>
      </w:pPr>
      <w:rPr>
        <w:rFonts w:ascii="Symbol" w:hAnsi="Symbol"/>
      </w:rPr>
    </w:lvl>
    <w:lvl w:ilvl="1" w:tplc="FE52393E">
      <w:start w:val="1"/>
      <w:numFmt w:val="bullet"/>
      <w:lvlText w:val="o"/>
      <w:lvlJc w:val="left"/>
      <w:pPr>
        <w:tabs>
          <w:tab w:val="num" w:pos="1440"/>
        </w:tabs>
        <w:ind w:left="1440" w:hanging="360"/>
      </w:pPr>
      <w:rPr>
        <w:rFonts w:ascii="Courier New" w:hAnsi="Courier New"/>
      </w:rPr>
    </w:lvl>
    <w:lvl w:ilvl="2" w:tplc="7AE8B4A2">
      <w:start w:val="1"/>
      <w:numFmt w:val="bullet"/>
      <w:lvlText w:val=""/>
      <w:lvlJc w:val="left"/>
      <w:pPr>
        <w:tabs>
          <w:tab w:val="num" w:pos="2160"/>
        </w:tabs>
        <w:ind w:left="2160" w:hanging="360"/>
      </w:pPr>
      <w:rPr>
        <w:rFonts w:ascii="Wingdings" w:hAnsi="Wingdings"/>
      </w:rPr>
    </w:lvl>
    <w:lvl w:ilvl="3" w:tplc="5EDA6534">
      <w:start w:val="1"/>
      <w:numFmt w:val="bullet"/>
      <w:lvlText w:val=""/>
      <w:lvlJc w:val="left"/>
      <w:pPr>
        <w:tabs>
          <w:tab w:val="num" w:pos="2880"/>
        </w:tabs>
        <w:ind w:left="2880" w:hanging="360"/>
      </w:pPr>
      <w:rPr>
        <w:rFonts w:ascii="Symbol" w:hAnsi="Symbol"/>
      </w:rPr>
    </w:lvl>
    <w:lvl w:ilvl="4" w:tplc="187820D8">
      <w:start w:val="1"/>
      <w:numFmt w:val="bullet"/>
      <w:lvlText w:val="o"/>
      <w:lvlJc w:val="left"/>
      <w:pPr>
        <w:tabs>
          <w:tab w:val="num" w:pos="3600"/>
        </w:tabs>
        <w:ind w:left="3600" w:hanging="360"/>
      </w:pPr>
      <w:rPr>
        <w:rFonts w:ascii="Courier New" w:hAnsi="Courier New"/>
      </w:rPr>
    </w:lvl>
    <w:lvl w:ilvl="5" w:tplc="5A4A2C20">
      <w:start w:val="1"/>
      <w:numFmt w:val="bullet"/>
      <w:lvlText w:val=""/>
      <w:lvlJc w:val="left"/>
      <w:pPr>
        <w:tabs>
          <w:tab w:val="num" w:pos="4320"/>
        </w:tabs>
        <w:ind w:left="4320" w:hanging="360"/>
      </w:pPr>
      <w:rPr>
        <w:rFonts w:ascii="Wingdings" w:hAnsi="Wingdings"/>
      </w:rPr>
    </w:lvl>
    <w:lvl w:ilvl="6" w:tplc="104A5800">
      <w:start w:val="1"/>
      <w:numFmt w:val="bullet"/>
      <w:lvlText w:val=""/>
      <w:lvlJc w:val="left"/>
      <w:pPr>
        <w:tabs>
          <w:tab w:val="num" w:pos="5040"/>
        </w:tabs>
        <w:ind w:left="5040" w:hanging="360"/>
      </w:pPr>
      <w:rPr>
        <w:rFonts w:ascii="Symbol" w:hAnsi="Symbol"/>
      </w:rPr>
    </w:lvl>
    <w:lvl w:ilvl="7" w:tplc="6D085A80">
      <w:start w:val="1"/>
      <w:numFmt w:val="bullet"/>
      <w:lvlText w:val="o"/>
      <w:lvlJc w:val="left"/>
      <w:pPr>
        <w:tabs>
          <w:tab w:val="num" w:pos="5760"/>
        </w:tabs>
        <w:ind w:left="5760" w:hanging="360"/>
      </w:pPr>
      <w:rPr>
        <w:rFonts w:ascii="Courier New" w:hAnsi="Courier New"/>
      </w:rPr>
    </w:lvl>
    <w:lvl w:ilvl="8" w:tplc="61C6416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78BE8078">
      <w:start w:val="1"/>
      <w:numFmt w:val="bullet"/>
      <w:lvlText w:val=""/>
      <w:lvlJc w:val="left"/>
      <w:pPr>
        <w:ind w:left="720" w:hanging="360"/>
      </w:pPr>
      <w:rPr>
        <w:rFonts w:ascii="Symbol" w:hAnsi="Symbol"/>
      </w:rPr>
    </w:lvl>
    <w:lvl w:ilvl="1" w:tplc="DAE62CC8">
      <w:start w:val="1"/>
      <w:numFmt w:val="bullet"/>
      <w:lvlText w:val="o"/>
      <w:lvlJc w:val="left"/>
      <w:pPr>
        <w:tabs>
          <w:tab w:val="num" w:pos="1440"/>
        </w:tabs>
        <w:ind w:left="1440" w:hanging="360"/>
      </w:pPr>
      <w:rPr>
        <w:rFonts w:ascii="Courier New" w:hAnsi="Courier New"/>
      </w:rPr>
    </w:lvl>
    <w:lvl w:ilvl="2" w:tplc="3C4A6AE4">
      <w:start w:val="1"/>
      <w:numFmt w:val="bullet"/>
      <w:lvlText w:val=""/>
      <w:lvlJc w:val="left"/>
      <w:pPr>
        <w:tabs>
          <w:tab w:val="num" w:pos="2160"/>
        </w:tabs>
        <w:ind w:left="2160" w:hanging="360"/>
      </w:pPr>
      <w:rPr>
        <w:rFonts w:ascii="Wingdings" w:hAnsi="Wingdings"/>
      </w:rPr>
    </w:lvl>
    <w:lvl w:ilvl="3" w:tplc="13C85370">
      <w:start w:val="1"/>
      <w:numFmt w:val="bullet"/>
      <w:lvlText w:val=""/>
      <w:lvlJc w:val="left"/>
      <w:pPr>
        <w:tabs>
          <w:tab w:val="num" w:pos="2880"/>
        </w:tabs>
        <w:ind w:left="2880" w:hanging="360"/>
      </w:pPr>
      <w:rPr>
        <w:rFonts w:ascii="Symbol" w:hAnsi="Symbol"/>
      </w:rPr>
    </w:lvl>
    <w:lvl w:ilvl="4" w:tplc="3ED84F98">
      <w:start w:val="1"/>
      <w:numFmt w:val="bullet"/>
      <w:lvlText w:val="o"/>
      <w:lvlJc w:val="left"/>
      <w:pPr>
        <w:tabs>
          <w:tab w:val="num" w:pos="3600"/>
        </w:tabs>
        <w:ind w:left="3600" w:hanging="360"/>
      </w:pPr>
      <w:rPr>
        <w:rFonts w:ascii="Courier New" w:hAnsi="Courier New"/>
      </w:rPr>
    </w:lvl>
    <w:lvl w:ilvl="5" w:tplc="E26A94DA">
      <w:start w:val="1"/>
      <w:numFmt w:val="bullet"/>
      <w:lvlText w:val=""/>
      <w:lvlJc w:val="left"/>
      <w:pPr>
        <w:tabs>
          <w:tab w:val="num" w:pos="4320"/>
        </w:tabs>
        <w:ind w:left="4320" w:hanging="360"/>
      </w:pPr>
      <w:rPr>
        <w:rFonts w:ascii="Wingdings" w:hAnsi="Wingdings"/>
      </w:rPr>
    </w:lvl>
    <w:lvl w:ilvl="6" w:tplc="1DCEBB88">
      <w:start w:val="1"/>
      <w:numFmt w:val="bullet"/>
      <w:lvlText w:val=""/>
      <w:lvlJc w:val="left"/>
      <w:pPr>
        <w:tabs>
          <w:tab w:val="num" w:pos="5040"/>
        </w:tabs>
        <w:ind w:left="5040" w:hanging="360"/>
      </w:pPr>
      <w:rPr>
        <w:rFonts w:ascii="Symbol" w:hAnsi="Symbol"/>
      </w:rPr>
    </w:lvl>
    <w:lvl w:ilvl="7" w:tplc="F738D2A4">
      <w:start w:val="1"/>
      <w:numFmt w:val="bullet"/>
      <w:lvlText w:val="o"/>
      <w:lvlJc w:val="left"/>
      <w:pPr>
        <w:tabs>
          <w:tab w:val="num" w:pos="5760"/>
        </w:tabs>
        <w:ind w:left="5760" w:hanging="360"/>
      </w:pPr>
      <w:rPr>
        <w:rFonts w:ascii="Courier New" w:hAnsi="Courier New"/>
      </w:rPr>
    </w:lvl>
    <w:lvl w:ilvl="8" w:tplc="8F58AFD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134A848">
      <w:start w:val="1"/>
      <w:numFmt w:val="bullet"/>
      <w:lvlText w:val=""/>
      <w:lvlJc w:val="left"/>
      <w:pPr>
        <w:ind w:left="720" w:hanging="360"/>
      </w:pPr>
      <w:rPr>
        <w:rFonts w:ascii="Symbol" w:hAnsi="Symbol"/>
      </w:rPr>
    </w:lvl>
    <w:lvl w:ilvl="1" w:tplc="6B72522E">
      <w:start w:val="1"/>
      <w:numFmt w:val="bullet"/>
      <w:lvlText w:val="o"/>
      <w:lvlJc w:val="left"/>
      <w:pPr>
        <w:tabs>
          <w:tab w:val="num" w:pos="1440"/>
        </w:tabs>
        <w:ind w:left="1440" w:hanging="360"/>
      </w:pPr>
      <w:rPr>
        <w:rFonts w:ascii="Courier New" w:hAnsi="Courier New"/>
      </w:rPr>
    </w:lvl>
    <w:lvl w:ilvl="2" w:tplc="46EAF0C4">
      <w:start w:val="1"/>
      <w:numFmt w:val="bullet"/>
      <w:lvlText w:val=""/>
      <w:lvlJc w:val="left"/>
      <w:pPr>
        <w:tabs>
          <w:tab w:val="num" w:pos="2160"/>
        </w:tabs>
        <w:ind w:left="2160" w:hanging="360"/>
      </w:pPr>
      <w:rPr>
        <w:rFonts w:ascii="Wingdings" w:hAnsi="Wingdings"/>
      </w:rPr>
    </w:lvl>
    <w:lvl w:ilvl="3" w:tplc="5120A996">
      <w:start w:val="1"/>
      <w:numFmt w:val="bullet"/>
      <w:lvlText w:val=""/>
      <w:lvlJc w:val="left"/>
      <w:pPr>
        <w:tabs>
          <w:tab w:val="num" w:pos="2880"/>
        </w:tabs>
        <w:ind w:left="2880" w:hanging="360"/>
      </w:pPr>
      <w:rPr>
        <w:rFonts w:ascii="Symbol" w:hAnsi="Symbol"/>
      </w:rPr>
    </w:lvl>
    <w:lvl w:ilvl="4" w:tplc="512211BC">
      <w:start w:val="1"/>
      <w:numFmt w:val="bullet"/>
      <w:lvlText w:val="o"/>
      <w:lvlJc w:val="left"/>
      <w:pPr>
        <w:tabs>
          <w:tab w:val="num" w:pos="3600"/>
        </w:tabs>
        <w:ind w:left="3600" w:hanging="360"/>
      </w:pPr>
      <w:rPr>
        <w:rFonts w:ascii="Courier New" w:hAnsi="Courier New"/>
      </w:rPr>
    </w:lvl>
    <w:lvl w:ilvl="5" w:tplc="DB1425A6">
      <w:start w:val="1"/>
      <w:numFmt w:val="bullet"/>
      <w:lvlText w:val=""/>
      <w:lvlJc w:val="left"/>
      <w:pPr>
        <w:tabs>
          <w:tab w:val="num" w:pos="4320"/>
        </w:tabs>
        <w:ind w:left="4320" w:hanging="360"/>
      </w:pPr>
      <w:rPr>
        <w:rFonts w:ascii="Wingdings" w:hAnsi="Wingdings"/>
      </w:rPr>
    </w:lvl>
    <w:lvl w:ilvl="6" w:tplc="B41C4068">
      <w:start w:val="1"/>
      <w:numFmt w:val="bullet"/>
      <w:lvlText w:val=""/>
      <w:lvlJc w:val="left"/>
      <w:pPr>
        <w:tabs>
          <w:tab w:val="num" w:pos="5040"/>
        </w:tabs>
        <w:ind w:left="5040" w:hanging="360"/>
      </w:pPr>
      <w:rPr>
        <w:rFonts w:ascii="Symbol" w:hAnsi="Symbol"/>
      </w:rPr>
    </w:lvl>
    <w:lvl w:ilvl="7" w:tplc="27228922">
      <w:start w:val="1"/>
      <w:numFmt w:val="bullet"/>
      <w:lvlText w:val="o"/>
      <w:lvlJc w:val="left"/>
      <w:pPr>
        <w:tabs>
          <w:tab w:val="num" w:pos="5760"/>
        </w:tabs>
        <w:ind w:left="5760" w:hanging="360"/>
      </w:pPr>
      <w:rPr>
        <w:rFonts w:ascii="Courier New" w:hAnsi="Courier New"/>
      </w:rPr>
    </w:lvl>
    <w:lvl w:ilvl="8" w:tplc="7274644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60A4106">
      <w:start w:val="1"/>
      <w:numFmt w:val="bullet"/>
      <w:lvlText w:val=""/>
      <w:lvlJc w:val="left"/>
      <w:pPr>
        <w:ind w:left="720" w:hanging="360"/>
      </w:pPr>
      <w:rPr>
        <w:rFonts w:ascii="Symbol" w:hAnsi="Symbol"/>
      </w:rPr>
    </w:lvl>
    <w:lvl w:ilvl="1" w:tplc="FFEC84E0">
      <w:start w:val="1"/>
      <w:numFmt w:val="bullet"/>
      <w:lvlText w:val="o"/>
      <w:lvlJc w:val="left"/>
      <w:pPr>
        <w:tabs>
          <w:tab w:val="num" w:pos="1440"/>
        </w:tabs>
        <w:ind w:left="1440" w:hanging="360"/>
      </w:pPr>
      <w:rPr>
        <w:rFonts w:ascii="Courier New" w:hAnsi="Courier New"/>
      </w:rPr>
    </w:lvl>
    <w:lvl w:ilvl="2" w:tplc="F782F610">
      <w:start w:val="1"/>
      <w:numFmt w:val="bullet"/>
      <w:lvlText w:val=""/>
      <w:lvlJc w:val="left"/>
      <w:pPr>
        <w:tabs>
          <w:tab w:val="num" w:pos="2160"/>
        </w:tabs>
        <w:ind w:left="2160" w:hanging="360"/>
      </w:pPr>
      <w:rPr>
        <w:rFonts w:ascii="Wingdings" w:hAnsi="Wingdings"/>
      </w:rPr>
    </w:lvl>
    <w:lvl w:ilvl="3" w:tplc="440E1824">
      <w:start w:val="1"/>
      <w:numFmt w:val="bullet"/>
      <w:lvlText w:val=""/>
      <w:lvlJc w:val="left"/>
      <w:pPr>
        <w:tabs>
          <w:tab w:val="num" w:pos="2880"/>
        </w:tabs>
        <w:ind w:left="2880" w:hanging="360"/>
      </w:pPr>
      <w:rPr>
        <w:rFonts w:ascii="Symbol" w:hAnsi="Symbol"/>
      </w:rPr>
    </w:lvl>
    <w:lvl w:ilvl="4" w:tplc="9BC42652">
      <w:start w:val="1"/>
      <w:numFmt w:val="bullet"/>
      <w:lvlText w:val="o"/>
      <w:lvlJc w:val="left"/>
      <w:pPr>
        <w:tabs>
          <w:tab w:val="num" w:pos="3600"/>
        </w:tabs>
        <w:ind w:left="3600" w:hanging="360"/>
      </w:pPr>
      <w:rPr>
        <w:rFonts w:ascii="Courier New" w:hAnsi="Courier New"/>
      </w:rPr>
    </w:lvl>
    <w:lvl w:ilvl="5" w:tplc="7692318A">
      <w:start w:val="1"/>
      <w:numFmt w:val="bullet"/>
      <w:lvlText w:val=""/>
      <w:lvlJc w:val="left"/>
      <w:pPr>
        <w:tabs>
          <w:tab w:val="num" w:pos="4320"/>
        </w:tabs>
        <w:ind w:left="4320" w:hanging="360"/>
      </w:pPr>
      <w:rPr>
        <w:rFonts w:ascii="Wingdings" w:hAnsi="Wingdings"/>
      </w:rPr>
    </w:lvl>
    <w:lvl w:ilvl="6" w:tplc="CDBA18EA">
      <w:start w:val="1"/>
      <w:numFmt w:val="bullet"/>
      <w:lvlText w:val=""/>
      <w:lvlJc w:val="left"/>
      <w:pPr>
        <w:tabs>
          <w:tab w:val="num" w:pos="5040"/>
        </w:tabs>
        <w:ind w:left="5040" w:hanging="360"/>
      </w:pPr>
      <w:rPr>
        <w:rFonts w:ascii="Symbol" w:hAnsi="Symbol"/>
      </w:rPr>
    </w:lvl>
    <w:lvl w:ilvl="7" w:tplc="45ECE0E0">
      <w:start w:val="1"/>
      <w:numFmt w:val="bullet"/>
      <w:lvlText w:val="o"/>
      <w:lvlJc w:val="left"/>
      <w:pPr>
        <w:tabs>
          <w:tab w:val="num" w:pos="5760"/>
        </w:tabs>
        <w:ind w:left="5760" w:hanging="360"/>
      </w:pPr>
      <w:rPr>
        <w:rFonts w:ascii="Courier New" w:hAnsi="Courier New"/>
      </w:rPr>
    </w:lvl>
    <w:lvl w:ilvl="8" w:tplc="AB160AD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12488243">
    <w:abstractNumId w:val="0"/>
  </w:num>
  <w:num w:numId="2" w16cid:durableId="1308824109">
    <w:abstractNumId w:val="1"/>
  </w:num>
  <w:num w:numId="3" w16cid:durableId="856701565">
    <w:abstractNumId w:val="2"/>
  </w:num>
  <w:num w:numId="4" w16cid:durableId="101537844">
    <w:abstractNumId w:val="3"/>
  </w:num>
  <w:num w:numId="5" w16cid:durableId="237441613">
    <w:abstractNumId w:val="4"/>
  </w:num>
  <w:num w:numId="6" w16cid:durableId="1690830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F71"/>
    <w:rsid w:val="005A111E"/>
    <w:rsid w:val="005F28E5"/>
    <w:rsid w:val="00A77B3E"/>
    <w:rsid w:val="00CA2A55"/>
    <w:rsid w:val="00CC3165"/>
    <w:rsid w:val="00DE13D3"/>
    <w:rsid w:val="00DF1E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C70AC"/>
  <w15:docId w15:val="{B2FFF93D-ECAD-4C70-99B6-54C0E3D0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qFormat/>
    <w:rsid w:val="00EF7B96"/>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F7B9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F7B96"/>
    <w:pPr>
      <w:keepNext/>
      <w:spacing w:before="240" w:after="60"/>
      <w:outlineLvl w:val="2"/>
    </w:pPr>
    <w:rPr>
      <w:rFonts w:ascii="Arial" w:hAnsi="Arial" w:cs="Arial"/>
      <w:b/>
      <w:bCs/>
      <w:sz w:val="26"/>
      <w:szCs w:val="26"/>
    </w:rPr>
  </w:style>
  <w:style w:type="paragraph" w:styleId="Naslov4">
    <w:name w:val="heading 4"/>
    <w:basedOn w:val="Navaden"/>
    <w:next w:val="Navaden"/>
    <w:qFormat/>
    <w:rsid w:val="00EF7B96"/>
    <w:pPr>
      <w:keepNext/>
      <w:spacing w:before="240" w:after="60"/>
      <w:outlineLvl w:val="3"/>
    </w:pPr>
    <w:rPr>
      <w:b/>
      <w:bCs/>
      <w:sz w:val="28"/>
      <w:szCs w:val="28"/>
    </w:rPr>
  </w:style>
  <w:style w:type="paragraph" w:styleId="Naslov5">
    <w:name w:val="heading 5"/>
    <w:basedOn w:val="Navaden"/>
    <w:next w:val="Navaden"/>
    <w:qFormat/>
    <w:rsid w:val="00EF7B96"/>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rsid w:val="00805BCE"/>
  </w:style>
  <w:style w:type="character" w:styleId="Hiperpovezava">
    <w:name w:val="Hyperlink"/>
    <w:basedOn w:val="Privzetapisavaodstavka"/>
    <w:rsid w:val="00EF7B96"/>
    <w:rPr>
      <w:color w:val="0000FF"/>
      <w:u w:val="single"/>
    </w:rPr>
  </w:style>
  <w:style w:type="paragraph" w:styleId="Kazalovsebine2">
    <w:name w:val="toc 2"/>
    <w:basedOn w:val="Navaden"/>
    <w:next w:val="Navaden"/>
    <w:autoRedefine/>
    <w:rsid w:val="00805BCE"/>
    <w:pPr>
      <w:ind w:left="240"/>
    </w:pPr>
  </w:style>
  <w:style w:type="paragraph" w:styleId="Kazalovsebine3">
    <w:name w:val="toc 3"/>
    <w:basedOn w:val="Navaden"/>
    <w:next w:val="Navaden"/>
    <w:autoRedefine/>
    <w:rsid w:val="00805BCE"/>
    <w:pPr>
      <w:ind w:left="480"/>
    </w:pPr>
  </w:style>
  <w:style w:type="paragraph" w:styleId="Kazalovsebine4">
    <w:name w:val="toc 4"/>
    <w:basedOn w:val="Navaden"/>
    <w:next w:val="Navaden"/>
    <w:autoRedefine/>
    <w:rsid w:val="00805BCE"/>
    <w:pPr>
      <w:ind w:left="720"/>
    </w:pPr>
  </w:style>
  <w:style w:type="paragraph" w:styleId="Kazalovsebine5">
    <w:name w:val="toc 5"/>
    <w:basedOn w:val="Navaden"/>
    <w:next w:val="Navaden"/>
    <w:autoRedefine/>
    <w:rsid w:val="00805BCE"/>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16" Type="http://schemas.openxmlformats.org/officeDocument/2006/relationships/footer" Target="footer5.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2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13073</Words>
  <Characters>74520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Krpan</dc:creator>
  <cp:lastModifiedBy>Tina Mithans</cp:lastModifiedBy>
  <cp:revision>2</cp:revision>
  <dcterms:created xsi:type="dcterms:W3CDTF">2023-10-02T14:06:00Z</dcterms:created>
  <dcterms:modified xsi:type="dcterms:W3CDTF">2023-10-02T14:06:00Z</dcterms:modified>
</cp:coreProperties>
</file>