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B647" w14:textId="24816C35" w:rsidR="007B7548" w:rsidRDefault="007B7548" w:rsidP="007B7548">
      <w:pPr>
        <w:pStyle w:val="DatumZadeva"/>
        <w:rPr>
          <w:sz w:val="16"/>
          <w:szCs w:val="16"/>
        </w:rPr>
      </w:pPr>
      <w:bookmarkStart w:id="0" w:name="_GoBack"/>
      <w:bookmarkEnd w:id="0"/>
    </w:p>
    <w:p w14:paraId="2056AEAB" w14:textId="77777777" w:rsidR="007B7548" w:rsidRDefault="007B7548" w:rsidP="007B7548">
      <w:pPr>
        <w:pStyle w:val="DatumZadeva"/>
        <w:rPr>
          <w:sz w:val="16"/>
          <w:szCs w:val="16"/>
        </w:rPr>
      </w:pPr>
    </w:p>
    <w:p w14:paraId="387786AD" w14:textId="77777777" w:rsidR="007B7548" w:rsidRDefault="007B7548" w:rsidP="007B7548">
      <w:pPr>
        <w:pStyle w:val="DatumZadeva"/>
        <w:rPr>
          <w:sz w:val="16"/>
          <w:szCs w:val="16"/>
        </w:rPr>
      </w:pPr>
    </w:p>
    <w:p w14:paraId="5C76694C" w14:textId="3198AEA4" w:rsidR="007B7548" w:rsidRPr="00050A67" w:rsidRDefault="00BE2C96" w:rsidP="007B7548">
      <w:pPr>
        <w:pStyle w:val="DatumZadeva"/>
        <w:rPr>
          <w:sz w:val="16"/>
          <w:szCs w:val="16"/>
        </w:rPr>
      </w:pPr>
      <w:r>
        <w:rPr>
          <w:sz w:val="16"/>
          <w:szCs w:val="16"/>
        </w:rPr>
        <w:tab/>
      </w:r>
      <w:r>
        <w:rPr>
          <w:sz w:val="16"/>
          <w:szCs w:val="16"/>
        </w:rPr>
        <w:tab/>
      </w:r>
    </w:p>
    <w:p w14:paraId="3D5155F5" w14:textId="5C41EC52" w:rsidR="007B7548" w:rsidRPr="00B67C35" w:rsidRDefault="007B7548" w:rsidP="007B7548">
      <w:pPr>
        <w:pStyle w:val="Naslov"/>
        <w:rPr>
          <w:lang w:val="sl-SI"/>
        </w:rPr>
      </w:pPr>
      <w:r>
        <w:rPr>
          <w:lang w:val="sl-SI"/>
        </w:rPr>
        <w:t xml:space="preserve">Zadeva: </w:t>
      </w:r>
      <w:r w:rsidR="006D7B0F" w:rsidRPr="00BC2251">
        <w:rPr>
          <w:lang w:val="sl-SI"/>
        </w:rPr>
        <w:t xml:space="preserve">Poziv Rdečega križa Slovenije in Slovenske karitas poslancem, da zavrnejo </w:t>
      </w:r>
      <w:proofErr w:type="spellStart"/>
      <w:r w:rsidR="006D7B0F" w:rsidRPr="00BC2251">
        <w:rPr>
          <w:lang w:val="sl-SI"/>
        </w:rPr>
        <w:t>sprememe</w:t>
      </w:r>
      <w:proofErr w:type="spellEnd"/>
      <w:r w:rsidR="006D7B0F" w:rsidRPr="00BC2251">
        <w:rPr>
          <w:lang w:val="sl-SI"/>
        </w:rPr>
        <w:t xml:space="preserve"> Zakona o igrah na srečo</w:t>
      </w:r>
    </w:p>
    <w:p w14:paraId="4DD90F44" w14:textId="0480CCEA" w:rsidR="006D7B0F" w:rsidRDefault="006D7B0F" w:rsidP="006D7B0F">
      <w:pPr>
        <w:pStyle w:val="Navadensplet"/>
      </w:pPr>
      <w:r>
        <w:t xml:space="preserve">Negativno mnenje Karitas in Rdečega križa Slovenije o spremembah Zakona o igrah na srečo </w:t>
      </w:r>
    </w:p>
    <w:p w14:paraId="1A41A1E5" w14:textId="3C82D0B0" w:rsidR="006D7B0F" w:rsidRDefault="006D7B0F" w:rsidP="006D7B0F">
      <w:pPr>
        <w:pStyle w:val="Navadensplet"/>
      </w:pPr>
      <w:r>
        <w:t xml:space="preserve">Predlogi spremembe Zakona o igrah na srečo so po mnenju Slovenske karitas in Rdečega križa Slovenije nesprejemljivi in škodljivi za širšo družbo. Z ukrepi se predvsem krepi tržna in marketinška dejavnost iger na srečo, kar je z vidika nevarnosti širjenja zasvojenosti in drugih negativnih posledic nedopustno. Tovrstna za družbo in </w:t>
      </w:r>
      <w:r w:rsidRPr="00A75ADE">
        <w:rPr>
          <w:bCs/>
        </w:rPr>
        <w:t>igralce</w:t>
      </w:r>
      <w:r w:rsidRPr="00A75ADE">
        <w:t xml:space="preserve"> </w:t>
      </w:r>
      <w:r>
        <w:t>tvegana dejavnost je v Sloveniji zadovoljivo zamejena in ustrezno kontrolirana s strani države. Predlagane spremembe želijo predvsem pov</w:t>
      </w:r>
      <w:r w:rsidR="00A75ADE">
        <w:t>ečati število igralcev, še pose</w:t>
      </w:r>
      <w:r>
        <w:t>bej na področju športnih stav, kjer se na široko odpira vrata agresivnim tu</w:t>
      </w:r>
      <w:r w:rsidR="00A75ADE">
        <w:t>jim prirediteljem, za kar ni ni</w:t>
      </w:r>
      <w:r>
        <w:t xml:space="preserve">kakršne razumne potrebe. </w:t>
      </w:r>
    </w:p>
    <w:p w14:paraId="29E34481" w14:textId="71397E23" w:rsidR="006D7B0F" w:rsidRDefault="006D7B0F" w:rsidP="006D7B0F">
      <w:pPr>
        <w:pStyle w:val="Navadensplet"/>
      </w:pPr>
      <w:r>
        <w:t>V Slovenski karitas in Rdečem križu Slovenije ocenjujemo, da predl</w:t>
      </w:r>
      <w:r w:rsidR="00A75ADE">
        <w:t>agane spremembe zakona niso ute</w:t>
      </w:r>
      <w:r>
        <w:t>meljene in jih ne podpiramo iz naslednji</w:t>
      </w:r>
      <w:r w:rsidR="00BC2251">
        <w:t>h</w:t>
      </w:r>
      <w:r>
        <w:t xml:space="preserve"> razlogov: </w:t>
      </w:r>
    </w:p>
    <w:p w14:paraId="2484CE3F" w14:textId="77777777" w:rsidR="006D7B0F" w:rsidRDefault="006D7B0F" w:rsidP="006D7B0F">
      <w:pPr>
        <w:pStyle w:val="Navadensplet"/>
      </w:pPr>
      <w:r w:rsidRPr="006D7B0F">
        <w:rPr>
          <w:b/>
          <w:bCs/>
        </w:rPr>
        <w:t>Širitev kroga prirediteljev iger na srečo</w:t>
      </w:r>
      <w:r>
        <w:t xml:space="preserve"> </w:t>
      </w:r>
    </w:p>
    <w:p w14:paraId="29630AB9" w14:textId="45A8E8AB" w:rsidR="006D7B0F" w:rsidRDefault="006D7B0F" w:rsidP="006D7B0F">
      <w:pPr>
        <w:pStyle w:val="Navadensplet"/>
      </w:pPr>
      <w:r>
        <w:t xml:space="preserve">Vstop novih prirediteljev iger na srečo upravičuje </w:t>
      </w:r>
      <w:r w:rsidRPr="006D7B0F">
        <w:rPr>
          <w:b/>
          <w:bCs/>
        </w:rPr>
        <w:t>dodatno intenzivno oglaševanje iger na srečo in spodbujanje novih igralcev</w:t>
      </w:r>
      <w:r>
        <w:t xml:space="preserve">. V tem primeru pri tovrstni tvegani dejavnosti večja konkurenca pomeni večjo potencialno škodo za igralce in celotno družbo. Glede na izkušnje z zasvojenostmi, ki jih imamo v programih humanitarnih organizacij, </w:t>
      </w:r>
      <w:r w:rsidRPr="006D7B0F">
        <w:rPr>
          <w:b/>
          <w:bCs/>
        </w:rPr>
        <w:t>je v hitrem porastu zasvojenost z igralništvom in športnimi stavami predvsem na internetu in zasvojenost z ekrani nasploh</w:t>
      </w:r>
      <w:r>
        <w:t xml:space="preserve">, v kombinaciji z drugimi klasičnimi zasvojenostmi. </w:t>
      </w:r>
    </w:p>
    <w:p w14:paraId="0CE0774B" w14:textId="77777777" w:rsidR="006D7B0F" w:rsidRDefault="006D7B0F" w:rsidP="006D7B0F">
      <w:pPr>
        <w:pStyle w:val="Navadensplet"/>
      </w:pPr>
      <w:r w:rsidRPr="006D7B0F">
        <w:rPr>
          <w:b/>
          <w:bCs/>
        </w:rPr>
        <w:t>Delež lastništva države in fundacij</w:t>
      </w:r>
      <w:r>
        <w:t xml:space="preserve"> </w:t>
      </w:r>
    </w:p>
    <w:p w14:paraId="3BD87BFB" w14:textId="68A4EAD1" w:rsidR="006D7B0F" w:rsidRDefault="006D7B0F" w:rsidP="006D7B0F">
      <w:pPr>
        <w:pStyle w:val="Navadensplet"/>
      </w:pPr>
      <w:r>
        <w:t xml:space="preserve">Dosedanji prireditelji so lastniško kontrolirani s strani države in dotičnih </w:t>
      </w:r>
      <w:r w:rsidR="00A75ADE">
        <w:t>fundacij, ki imajo v primeru Lo</w:t>
      </w:r>
      <w:r>
        <w:t xml:space="preserve">terije Slovenije večino v nadzornem odboru in s tem nadzor nad stroški, naložbami in delitvijo dobička, ki gre v deležu lastništva tudi za družbeno koristne namene. </w:t>
      </w:r>
      <w:r w:rsidRPr="006D7B0F">
        <w:rPr>
          <w:b/>
          <w:bCs/>
        </w:rPr>
        <w:t>Sprememba zakona ne predvideva večinskega lastniškega deleža države in fundacij za nove prireditelje in s tem nadzora nad poslovanjem in delitvijo dobička</w:t>
      </w:r>
      <w:r>
        <w:t xml:space="preserve">. </w:t>
      </w:r>
    </w:p>
    <w:p w14:paraId="1072733B" w14:textId="77777777" w:rsidR="006D7B0F" w:rsidRDefault="006D7B0F" w:rsidP="006D7B0F">
      <w:pPr>
        <w:pStyle w:val="Navadensplet"/>
      </w:pPr>
      <w:r w:rsidRPr="006D7B0F">
        <w:rPr>
          <w:b/>
          <w:bCs/>
        </w:rPr>
        <w:t>Nenadzorovane in prikrite igre na srečo</w:t>
      </w:r>
      <w:r>
        <w:t xml:space="preserve"> </w:t>
      </w:r>
    </w:p>
    <w:p w14:paraId="28EEBC84" w14:textId="2C15FE47" w:rsidR="006D7B0F" w:rsidRDefault="006D7B0F" w:rsidP="006D7B0F">
      <w:pPr>
        <w:pStyle w:val="Navadensplet"/>
      </w:pPr>
      <w:bookmarkStart w:id="1" w:name="_Hlk86048418"/>
      <w:bookmarkStart w:id="2" w:name="_Hlk86049714"/>
      <w:r>
        <w:t xml:space="preserve">Vstop </w:t>
      </w:r>
      <w:r w:rsidR="00E90CB9">
        <w:t>novih</w:t>
      </w:r>
      <w:r>
        <w:t xml:space="preserve"> dovoljeni</w:t>
      </w:r>
      <w:r w:rsidR="00E90CB9">
        <w:t>h</w:t>
      </w:r>
      <w:r>
        <w:t xml:space="preserve"> prireditelj</w:t>
      </w:r>
      <w:r w:rsidR="00E90CB9">
        <w:t>ev</w:t>
      </w:r>
      <w:r>
        <w:t xml:space="preserve"> iger na srečo </w:t>
      </w:r>
      <w:r w:rsidRPr="006D7B0F">
        <w:rPr>
          <w:b/>
          <w:bCs/>
        </w:rPr>
        <w:t>ne rešuje</w:t>
      </w:r>
      <w:r w:rsidR="00E90CB9">
        <w:rPr>
          <w:b/>
          <w:bCs/>
        </w:rPr>
        <w:t xml:space="preserve"> problema</w:t>
      </w:r>
      <w:r w:rsidRPr="006D7B0F">
        <w:rPr>
          <w:b/>
          <w:bCs/>
        </w:rPr>
        <w:t xml:space="preserve"> nenadzorovanih ig</w:t>
      </w:r>
      <w:r w:rsidR="00E90CB9">
        <w:rPr>
          <w:b/>
          <w:bCs/>
        </w:rPr>
        <w:t>e</w:t>
      </w:r>
      <w:r w:rsidRPr="006D7B0F">
        <w:rPr>
          <w:b/>
          <w:bCs/>
        </w:rPr>
        <w:t>r na srečo na spletu</w:t>
      </w:r>
      <w:r>
        <w:t xml:space="preserve">, kjer država ne participira </w:t>
      </w:r>
      <w:r w:rsidR="00E90CB9">
        <w:t>pri</w:t>
      </w:r>
      <w:r>
        <w:t xml:space="preserve"> </w:t>
      </w:r>
      <w:r w:rsidR="00E90CB9">
        <w:t xml:space="preserve">pobiranju </w:t>
      </w:r>
      <w:r>
        <w:t>davk</w:t>
      </w:r>
      <w:r w:rsidR="00E90CB9">
        <w:t>ov</w:t>
      </w:r>
      <w:r>
        <w:t xml:space="preserve"> in </w:t>
      </w:r>
      <w:r w:rsidR="00E90CB9">
        <w:t>obračunavanju koncesij, katerih prihodki bi bili usmerjeni v družbenokoristne dejavnosti. S</w:t>
      </w:r>
      <w:r>
        <w:t xml:space="preserve">lovenski igralci preko spleta </w:t>
      </w:r>
      <w:r w:rsidR="00E90CB9">
        <w:t xml:space="preserve">bodo </w:t>
      </w:r>
      <w:r>
        <w:t xml:space="preserve">še naprej uporabljali raznovrstno ponudbo v tujini, če bodo presodili, da je bolj ugodna ali mamljiva. </w:t>
      </w:r>
      <w:bookmarkEnd w:id="1"/>
      <w:r>
        <w:t xml:space="preserve">Prav tako </w:t>
      </w:r>
      <w:r w:rsidRPr="006D7B0F">
        <w:rPr>
          <w:b/>
          <w:bCs/>
        </w:rPr>
        <w:t>ne rešuje problema prikritih iger na srečo z velikimi dobitki v medijskih akcijah podjetij</w:t>
      </w:r>
      <w:r>
        <w:t xml:space="preserve">. To področje je enako neurejeno in nepokrito s koncesijami. </w:t>
      </w:r>
    </w:p>
    <w:bookmarkEnd w:id="2"/>
    <w:p w14:paraId="723863CF" w14:textId="4862115B" w:rsidR="006D7B0F" w:rsidRDefault="006D7B0F" w:rsidP="006D7B0F">
      <w:pPr>
        <w:pStyle w:val="Navadensplet"/>
      </w:pPr>
      <w:r w:rsidRPr="006D7B0F">
        <w:rPr>
          <w:b/>
          <w:bCs/>
        </w:rPr>
        <w:lastRenderedPageBreak/>
        <w:t xml:space="preserve">Določitev minimalne </w:t>
      </w:r>
      <w:r w:rsidR="00BC2251" w:rsidRPr="006D7B0F">
        <w:rPr>
          <w:b/>
          <w:bCs/>
        </w:rPr>
        <w:t>5</w:t>
      </w:r>
      <w:r w:rsidR="00BC2251">
        <w:rPr>
          <w:b/>
          <w:bCs/>
        </w:rPr>
        <w:t>-%</w:t>
      </w:r>
      <w:r w:rsidRPr="006D7B0F">
        <w:rPr>
          <w:b/>
          <w:bCs/>
        </w:rPr>
        <w:t xml:space="preserve"> koncesije</w:t>
      </w:r>
      <w:r>
        <w:t xml:space="preserve"> </w:t>
      </w:r>
    </w:p>
    <w:p w14:paraId="2D71818C" w14:textId="77777777" w:rsidR="006D7B0F" w:rsidRDefault="006D7B0F" w:rsidP="006D7B0F">
      <w:pPr>
        <w:pStyle w:val="Navadensplet"/>
      </w:pPr>
      <w:r>
        <w:t xml:space="preserve">Delež koncesije v posameznih večjih igrah na srečo v primeru Loterije Slovenije dosega tudi 40%, kar mora biti končni cilj. Določitev minimalne 5% deleža koncesij ob razpisih bo postala orientacija za vse igre na srečo. </w:t>
      </w:r>
      <w:r w:rsidRPr="00A75ADE">
        <w:rPr>
          <w:b/>
        </w:rPr>
        <w:t>Manjši delež koncesij pomeni manj sredstev za družbeno koristne namene</w:t>
      </w:r>
      <w:r>
        <w:t xml:space="preserve"> in več sredstev za agresivno oglaševanje in mamljive dobitke, kar je močan vzvod za razvoj zasvojenosti ter drugih škodljivih posledic. </w:t>
      </w:r>
    </w:p>
    <w:p w14:paraId="1B2B8663" w14:textId="7859F0A2" w:rsidR="006D7B0F" w:rsidRPr="006D7B0F" w:rsidRDefault="006D7B0F" w:rsidP="006D7B0F">
      <w:pPr>
        <w:pStyle w:val="Navadensplet"/>
        <w:rPr>
          <w:b/>
          <w:bCs/>
        </w:rPr>
      </w:pPr>
      <w:r w:rsidRPr="006D7B0F">
        <w:rPr>
          <w:b/>
          <w:bCs/>
        </w:rPr>
        <w:t xml:space="preserve">Finančni učinki sprememb </w:t>
      </w:r>
    </w:p>
    <w:p w14:paraId="036252BD" w14:textId="606AA4BE" w:rsidR="006D7B0F" w:rsidRDefault="006D7B0F" w:rsidP="006D7B0F">
      <w:pPr>
        <w:pStyle w:val="Navadensplet"/>
      </w:pPr>
      <w:r>
        <w:t>Ob sprejetju predloga sprememb zakona predvidevamo negativne finančne učinke za koncesije in še večji premik igralcev iz klasičnih iger na bistveno bolj tvegane posebne igre in športne stave na internetu. Kar pomeni konkretno tudi vsaj nekaj milijonski izpad za družbeno koristne namene na področju športa ter pomoči invalidom in revnim. Vse to na račun visokih dobitkov ter dobičkov in ogla</w:t>
      </w:r>
      <w:r w:rsidR="00A75ADE">
        <w:t>ševanja tu</w:t>
      </w:r>
      <w:r>
        <w:t xml:space="preserve">jih zasebnih prirediteljev. Če so že dovoljene škodljive in tvegane igre na srečo, morajo biti prihodki in dobički prirediteljev biti v čim večji meri vrnjeni v družbeno koristno dejavnost. </w:t>
      </w:r>
    </w:p>
    <w:p w14:paraId="6FCF3FE8" w14:textId="06420EAA" w:rsidR="006D7B0F" w:rsidRPr="00A75ADE" w:rsidRDefault="006D7B0F" w:rsidP="006D7B0F">
      <w:pPr>
        <w:pStyle w:val="Navadensplet"/>
        <w:rPr>
          <w:b/>
        </w:rPr>
      </w:pPr>
      <w:r>
        <w:t>Tudi v primeru scenarija „pozitivnih“ učinkov na davke države in koncesije, ki jih predstavljajo predlagatelji, le</w:t>
      </w:r>
      <w:r w:rsidR="00BC2251">
        <w:t>-t</w:t>
      </w:r>
      <w:r>
        <w:t>i ne morejo odtehtati povečanj</w:t>
      </w:r>
      <w:r w:rsidR="00BC2251">
        <w:t>a</w:t>
      </w:r>
      <w:r>
        <w:t xml:space="preserve"> problematike zasvojenosti ter spremljajočega kriminala, še manj pa uničenih človeških življenj in družin. Menimo, da Slovenija ne potrebuje agresivnega širjenja tveganih iger na srečo. </w:t>
      </w:r>
      <w:r w:rsidRPr="00A75ADE">
        <w:rPr>
          <w:b/>
        </w:rPr>
        <w:t xml:space="preserve">Zato pozivamo poslance, da zavrnejo predlog sprememb Zakona o igrah na srečo. </w:t>
      </w:r>
    </w:p>
    <w:p w14:paraId="06982920" w14:textId="5A98CB39" w:rsidR="007B7548" w:rsidRDefault="007B7548" w:rsidP="007B7548"/>
    <w:p w14:paraId="6963E0EB" w14:textId="72615D17" w:rsidR="005E6CF8" w:rsidRDefault="005E6CF8" w:rsidP="005E6CF8">
      <w:pPr>
        <w:ind w:left="4956" w:hanging="4956"/>
      </w:pPr>
      <w:r>
        <w:t>Vesna Mikuž</w:t>
      </w:r>
      <w:r>
        <w:tab/>
        <w:t xml:space="preserve">             </w:t>
      </w:r>
      <w:r>
        <w:rPr>
          <w:lang w:eastAsia="sl-SI"/>
        </w:rPr>
        <w:t>Peter</w:t>
      </w:r>
      <w:r>
        <w:tab/>
      </w:r>
      <w:r>
        <w:rPr>
          <w:lang w:eastAsia="sl-SI"/>
        </w:rPr>
        <w:t>Tomažič</w:t>
      </w:r>
      <w:r>
        <w:tab/>
      </w:r>
      <w:r>
        <w:tab/>
      </w:r>
    </w:p>
    <w:p w14:paraId="0B766733" w14:textId="3A9461CB" w:rsidR="005E6CF8" w:rsidRDefault="005E6CF8" w:rsidP="005E6CF8">
      <w:pPr>
        <w:ind w:left="4956" w:hanging="4956"/>
      </w:pPr>
      <w:r>
        <w:t>Predsednica RKS</w:t>
      </w:r>
      <w:r>
        <w:rPr>
          <w:lang w:eastAsia="sl-SI"/>
        </w:rPr>
        <w:t xml:space="preserve">                                                                   Generalni tajnik Slovenske karitas</w:t>
      </w:r>
    </w:p>
    <w:p w14:paraId="6D6C378D" w14:textId="06C2EA7C" w:rsidR="005E6CF8" w:rsidRDefault="005E6CF8" w:rsidP="005E6CF8">
      <w:pPr>
        <w:ind w:firstLine="0"/>
      </w:pPr>
      <w:r>
        <w:tab/>
      </w:r>
    </w:p>
    <w:sectPr w:rsidR="005E6CF8" w:rsidSect="00E25467">
      <w:headerReference w:type="default" r:id="rId6"/>
      <w:footerReference w:type="default" r:id="rId7"/>
      <w:headerReference w:type="first" r:id="rId8"/>
      <w:pgSz w:w="11906" w:h="16838"/>
      <w:pgMar w:top="1843" w:right="991" w:bottom="1417" w:left="1418" w:header="852" w:footer="406"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462F" w14:textId="77777777" w:rsidR="008A2E70" w:rsidRDefault="008A2E70">
      <w:pPr>
        <w:spacing w:after="0" w:line="240" w:lineRule="auto"/>
      </w:pPr>
      <w:r>
        <w:separator/>
      </w:r>
    </w:p>
  </w:endnote>
  <w:endnote w:type="continuationSeparator" w:id="0">
    <w:p w14:paraId="6A99EDF8" w14:textId="77777777" w:rsidR="008A2E70" w:rsidRDefault="008A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Karitas">
    <w:altName w:val="Arial"/>
    <w:panose1 w:val="00000000000000000000"/>
    <w:charset w:val="EE"/>
    <w:family w:val="modern"/>
    <w:notTrueType/>
    <w:pitch w:val="variable"/>
    <w:sig w:usb0="00000001" w:usb1="00002048"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ABB3" w14:textId="13276CF7" w:rsidR="00EE604C" w:rsidRPr="007C17C6" w:rsidRDefault="00FE6CF6" w:rsidP="007C17C6">
    <w:pPr>
      <w:pStyle w:val="Noga"/>
      <w:tabs>
        <w:tab w:val="clear" w:pos="4536"/>
        <w:tab w:val="clear" w:pos="9072"/>
        <w:tab w:val="right" w:pos="9498"/>
      </w:tabs>
      <w:spacing w:after="60"/>
      <w:ind w:firstLine="0"/>
      <w:jc w:val="center"/>
      <w:rPr>
        <w:rFonts w:ascii="Garamond Karitas" w:hAnsi="Garamond Karitas"/>
        <w:color w:val="C00000"/>
        <w:szCs w:val="24"/>
      </w:rPr>
    </w:pPr>
    <w:r w:rsidRPr="008E2E54">
      <w:rPr>
        <w:rFonts w:ascii="Calibri" w:hAnsi="Calibri"/>
        <w:sz w:val="18"/>
        <w:szCs w:val="18"/>
      </w:rPr>
      <w:fldChar w:fldCharType="begin"/>
    </w:r>
    <w:r w:rsidRPr="008E2E54">
      <w:rPr>
        <w:rFonts w:ascii="Calibri" w:hAnsi="Calibri"/>
        <w:sz w:val="18"/>
        <w:szCs w:val="18"/>
      </w:rPr>
      <w:instrText xml:space="preserve"> PAGE   \* MERGEFORMAT </w:instrText>
    </w:r>
    <w:r w:rsidRPr="008E2E54">
      <w:rPr>
        <w:rFonts w:ascii="Calibri" w:hAnsi="Calibri"/>
        <w:sz w:val="18"/>
        <w:szCs w:val="18"/>
      </w:rPr>
      <w:fldChar w:fldCharType="separate"/>
    </w:r>
    <w:r w:rsidR="00167AFC">
      <w:rPr>
        <w:rFonts w:ascii="Calibri" w:hAnsi="Calibri"/>
        <w:noProof/>
        <w:sz w:val="18"/>
        <w:szCs w:val="18"/>
      </w:rPr>
      <w:t>2</w:t>
    </w:r>
    <w:r w:rsidRPr="008E2E54">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53CFC" w14:textId="77777777" w:rsidR="008A2E70" w:rsidRDefault="008A2E70">
      <w:pPr>
        <w:spacing w:after="0" w:line="240" w:lineRule="auto"/>
      </w:pPr>
      <w:r>
        <w:separator/>
      </w:r>
    </w:p>
  </w:footnote>
  <w:footnote w:type="continuationSeparator" w:id="0">
    <w:p w14:paraId="5B788A4F" w14:textId="77777777" w:rsidR="008A2E70" w:rsidRDefault="008A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39B3" w14:textId="77777777" w:rsidR="00C839B7" w:rsidRPr="008E2E54" w:rsidRDefault="008A2E70" w:rsidP="00C839B7">
    <w:pPr>
      <w:pStyle w:val="Glava"/>
      <w:ind w:firstLine="0"/>
      <w:rPr>
        <w:rFonts w:ascii="Calibri" w:hAnsi="Calibri"/>
        <w:sz w:val="19"/>
        <w:szCs w:val="19"/>
      </w:rPr>
    </w:pPr>
  </w:p>
  <w:p w14:paraId="5B576756" w14:textId="77777777" w:rsidR="00C839B7" w:rsidRPr="008E2E54" w:rsidRDefault="008A2E70" w:rsidP="00C839B7">
    <w:pPr>
      <w:pStyle w:val="Glava"/>
      <w:ind w:firstLine="0"/>
      <w:rPr>
        <w:rFonts w:ascii="Calibri" w:hAnsi="Calibri"/>
        <w:sz w:val="19"/>
        <w:szCs w:val="19"/>
      </w:rPr>
    </w:pPr>
  </w:p>
  <w:p w14:paraId="432429E1" w14:textId="77777777" w:rsidR="00C839B7" w:rsidRPr="008E2E54" w:rsidRDefault="008A2E70" w:rsidP="00C839B7">
    <w:pPr>
      <w:pStyle w:val="Glava"/>
      <w:ind w:firstLine="0"/>
      <w:rPr>
        <w:rFonts w:ascii="Calibri" w:hAnsi="Calibri"/>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0601" w14:textId="55D0EBBB" w:rsidR="003E0C12" w:rsidRPr="008E2E54" w:rsidRDefault="00F930A6" w:rsidP="00F930A6">
    <w:pPr>
      <w:pStyle w:val="podatkizgoraj"/>
      <w:ind w:left="708"/>
      <w:jc w:val="left"/>
      <w:rPr>
        <w:rFonts w:ascii="Calibri" w:hAnsi="Calibri"/>
      </w:rPr>
    </w:pPr>
    <w:r>
      <w:rPr>
        <w:rFonts w:ascii="Calibri" w:hAnsi="Calibri"/>
        <w:noProof/>
        <w:lang w:eastAsia="sl-SI"/>
      </w:rPr>
      <w:drawing>
        <wp:inline distT="0" distB="0" distL="0" distR="0" wp14:anchorId="5AFFE10E" wp14:editId="5D31811E">
          <wp:extent cx="981075" cy="9715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inline>
      </w:drawing>
    </w:r>
    <w:r w:rsidRPr="00F930A6">
      <w:t xml:space="preserve"> </w:t>
    </w:r>
    <w:r>
      <w:rPr>
        <w:noProof/>
      </w:rPr>
      <w:t xml:space="preserve">                                                                    </w:t>
    </w:r>
    <w:r>
      <w:rPr>
        <w:noProof/>
        <w:lang w:eastAsia="sl-SI"/>
      </w:rPr>
      <w:drawing>
        <wp:inline distT="0" distB="0" distL="0" distR="0" wp14:anchorId="259C932F" wp14:editId="24CA5978">
          <wp:extent cx="2148851" cy="881380"/>
          <wp:effectExtent l="0" t="0" r="3810" b="0"/>
          <wp:docPr id="3" name="Slika 3" descr="Slovenska k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a karit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163" cy="8876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8"/>
    <w:rsid w:val="00167AFC"/>
    <w:rsid w:val="005E6CF8"/>
    <w:rsid w:val="006B2636"/>
    <w:rsid w:val="006D7B0F"/>
    <w:rsid w:val="007B7548"/>
    <w:rsid w:val="008A2E70"/>
    <w:rsid w:val="00A75ADE"/>
    <w:rsid w:val="00BC2251"/>
    <w:rsid w:val="00BE2C96"/>
    <w:rsid w:val="00D2184D"/>
    <w:rsid w:val="00E90CB9"/>
    <w:rsid w:val="00F930A6"/>
    <w:rsid w:val="00FE6C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0F256"/>
  <w15:docId w15:val="{2E6C2CE3-3E28-4B7C-B45B-0EEE6AA6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esedilo"/>
    <w:qFormat/>
    <w:rsid w:val="007B7548"/>
    <w:pPr>
      <w:spacing w:after="40" w:line="300" w:lineRule="exact"/>
      <w:ind w:firstLine="284"/>
      <w:jc w:val="both"/>
    </w:pPr>
    <w:rPr>
      <w:rFonts w:ascii="Adobe Garamond Pro" w:eastAsia="Times New Roman" w:hAnsi="Adobe Garamond Pro" w:cs="Times New Roman"/>
      <w:sz w:val="24"/>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7548"/>
    <w:pPr>
      <w:tabs>
        <w:tab w:val="center" w:pos="4536"/>
        <w:tab w:val="right" w:pos="9072"/>
      </w:tabs>
      <w:spacing w:after="0" w:line="240" w:lineRule="auto"/>
    </w:pPr>
  </w:style>
  <w:style w:type="character" w:customStyle="1" w:styleId="GlavaZnak">
    <w:name w:val="Glava Znak"/>
    <w:basedOn w:val="Privzetapisavaodstavka"/>
    <w:link w:val="Glava"/>
    <w:uiPriority w:val="99"/>
    <w:rsid w:val="007B7548"/>
    <w:rPr>
      <w:rFonts w:ascii="Adobe Garamond Pro" w:eastAsia="Times New Roman" w:hAnsi="Adobe Garamond Pro" w:cs="Times New Roman"/>
      <w:sz w:val="24"/>
      <w:lang w:bidi="en-US"/>
    </w:rPr>
  </w:style>
  <w:style w:type="paragraph" w:styleId="Noga">
    <w:name w:val="footer"/>
    <w:basedOn w:val="Navaden"/>
    <w:link w:val="NogaZnak"/>
    <w:uiPriority w:val="99"/>
    <w:unhideWhenUsed/>
    <w:rsid w:val="007B7548"/>
    <w:pPr>
      <w:tabs>
        <w:tab w:val="center" w:pos="4536"/>
        <w:tab w:val="right" w:pos="9072"/>
      </w:tabs>
      <w:spacing w:after="0" w:line="240" w:lineRule="auto"/>
    </w:pPr>
  </w:style>
  <w:style w:type="character" w:customStyle="1" w:styleId="NogaZnak">
    <w:name w:val="Noga Znak"/>
    <w:basedOn w:val="Privzetapisavaodstavka"/>
    <w:link w:val="Noga"/>
    <w:uiPriority w:val="99"/>
    <w:rsid w:val="007B7548"/>
    <w:rPr>
      <w:rFonts w:ascii="Adobe Garamond Pro" w:eastAsia="Times New Roman" w:hAnsi="Adobe Garamond Pro" w:cs="Times New Roman"/>
      <w:sz w:val="24"/>
      <w:lang w:bidi="en-US"/>
    </w:rPr>
  </w:style>
  <w:style w:type="paragraph" w:customStyle="1" w:styleId="Prejemnik">
    <w:name w:val="Prejemnik"/>
    <w:link w:val="PrejemnikZnak"/>
    <w:qFormat/>
    <w:rsid w:val="007B7548"/>
    <w:pPr>
      <w:spacing w:after="0" w:line="340" w:lineRule="exact"/>
      <w:ind w:firstLine="284"/>
    </w:pPr>
    <w:rPr>
      <w:rFonts w:ascii="Calibri" w:eastAsia="Times New Roman" w:hAnsi="Calibri" w:cs="Times New Roman"/>
      <w:sz w:val="24"/>
      <w:szCs w:val="20"/>
      <w:lang w:val="en-US" w:eastAsia="sl-SI" w:bidi="en-US"/>
    </w:rPr>
  </w:style>
  <w:style w:type="character" w:customStyle="1" w:styleId="PrejemnikZnak">
    <w:name w:val="Prejemnik Znak"/>
    <w:link w:val="Prejemnik"/>
    <w:rsid w:val="007B7548"/>
    <w:rPr>
      <w:rFonts w:ascii="Calibri" w:eastAsia="Times New Roman" w:hAnsi="Calibri" w:cs="Times New Roman"/>
      <w:sz w:val="24"/>
      <w:szCs w:val="20"/>
      <w:lang w:val="en-US" w:eastAsia="sl-SI" w:bidi="en-US"/>
    </w:rPr>
  </w:style>
  <w:style w:type="paragraph" w:styleId="Naslov">
    <w:name w:val="Title"/>
    <w:next w:val="Navaden"/>
    <w:link w:val="NaslovZnak"/>
    <w:uiPriority w:val="10"/>
    <w:qFormat/>
    <w:rsid w:val="007B7548"/>
    <w:pPr>
      <w:spacing w:after="120" w:line="300" w:lineRule="atLeast"/>
      <w:contextualSpacing/>
    </w:pPr>
    <w:rPr>
      <w:rFonts w:ascii="Calibri" w:eastAsia="Times New Roman" w:hAnsi="Calibri" w:cs="Times New Roman"/>
      <w:b/>
      <w:spacing w:val="4"/>
      <w:sz w:val="26"/>
      <w:szCs w:val="52"/>
      <w:lang w:val="en-US" w:eastAsia="sl-SI" w:bidi="en-US"/>
    </w:rPr>
  </w:style>
  <w:style w:type="character" w:customStyle="1" w:styleId="NaslovZnak">
    <w:name w:val="Naslov Znak"/>
    <w:basedOn w:val="Privzetapisavaodstavka"/>
    <w:link w:val="Naslov"/>
    <w:uiPriority w:val="10"/>
    <w:rsid w:val="007B7548"/>
    <w:rPr>
      <w:rFonts w:ascii="Calibri" w:eastAsia="Times New Roman" w:hAnsi="Calibri" w:cs="Times New Roman"/>
      <w:b/>
      <w:spacing w:val="4"/>
      <w:sz w:val="26"/>
      <w:szCs w:val="52"/>
      <w:lang w:val="en-US" w:eastAsia="sl-SI" w:bidi="en-US"/>
    </w:rPr>
  </w:style>
  <w:style w:type="paragraph" w:customStyle="1" w:styleId="podatkizgoraj">
    <w:name w:val="podatki zgoraj"/>
    <w:basedOn w:val="Navaden"/>
    <w:uiPriority w:val="99"/>
    <w:rsid w:val="007B7548"/>
    <w:pPr>
      <w:autoSpaceDE w:val="0"/>
      <w:autoSpaceDN w:val="0"/>
      <w:adjustRightInd w:val="0"/>
      <w:spacing w:before="28" w:after="0" w:line="220" w:lineRule="atLeast"/>
      <w:ind w:firstLine="0"/>
      <w:jc w:val="center"/>
      <w:textAlignment w:val="center"/>
    </w:pPr>
    <w:rPr>
      <w:rFonts w:ascii="Calibri Light" w:eastAsia="Calibri" w:hAnsi="Calibri Light" w:cs="Calibri Light"/>
      <w:color w:val="000000"/>
      <w:spacing w:val="11"/>
      <w:sz w:val="19"/>
      <w:szCs w:val="19"/>
      <w:lang w:bidi="ar-SA"/>
    </w:rPr>
  </w:style>
  <w:style w:type="paragraph" w:customStyle="1" w:styleId="DatumZadeva">
    <w:name w:val="Datum/Zadeva"/>
    <w:basedOn w:val="Prejemnik"/>
    <w:qFormat/>
    <w:rsid w:val="007B7548"/>
    <w:pPr>
      <w:tabs>
        <w:tab w:val="left" w:pos="5387"/>
      </w:tabs>
      <w:ind w:firstLine="0"/>
    </w:pPr>
    <w:rPr>
      <w:sz w:val="20"/>
      <w:lang w:val="sl-SI"/>
    </w:rPr>
  </w:style>
  <w:style w:type="paragraph" w:styleId="Besedilooblaka">
    <w:name w:val="Balloon Text"/>
    <w:basedOn w:val="Navaden"/>
    <w:link w:val="BesedilooblakaZnak"/>
    <w:uiPriority w:val="99"/>
    <w:semiHidden/>
    <w:unhideWhenUsed/>
    <w:rsid w:val="007B75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7548"/>
    <w:rPr>
      <w:rFonts w:ascii="Tahoma" w:eastAsia="Times New Roman" w:hAnsi="Tahoma" w:cs="Tahoma"/>
      <w:sz w:val="16"/>
      <w:szCs w:val="16"/>
      <w:lang w:bidi="en-US"/>
    </w:rPr>
  </w:style>
  <w:style w:type="paragraph" w:styleId="Navadensplet">
    <w:name w:val="Normal (Web)"/>
    <w:basedOn w:val="Navaden"/>
    <w:uiPriority w:val="99"/>
    <w:semiHidden/>
    <w:unhideWhenUsed/>
    <w:rsid w:val="006D7B0F"/>
    <w:pPr>
      <w:spacing w:before="100" w:beforeAutospacing="1" w:after="100" w:afterAutospacing="1" w:line="240" w:lineRule="auto"/>
      <w:ind w:firstLine="0"/>
      <w:jc w:val="left"/>
    </w:pPr>
    <w:rPr>
      <w:rFonts w:ascii="Times New Roman" w:hAnsi="Times New Roman"/>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Tina Mithans</cp:lastModifiedBy>
  <cp:revision>2</cp:revision>
  <dcterms:created xsi:type="dcterms:W3CDTF">2021-10-25T08:48:00Z</dcterms:created>
  <dcterms:modified xsi:type="dcterms:W3CDTF">2021-10-25T08:48:00Z</dcterms:modified>
</cp:coreProperties>
</file>