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B5E" w:rsidRDefault="005A25C5" w:rsidP="00A91B5E">
      <w:pPr>
        <w:pStyle w:val="TechnicalBlock"/>
        <w:ind w:left="-1134" w:right="-1134"/>
      </w:pPr>
      <w:bookmarkStart w:id="0" w:name="DW_BM_COVERPAGE"/>
      <w:bookmarkStart w:id="1" w:name="_GoBack"/>
      <w:bookmarkEnd w:id="1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ocument Cover Page.&#10;Document Number: 7877/18 ADD 1.&#10;Subject Codes: CONSOM 102 MI 247 ENT 66 JUSTCIV 86 DENLEG 29 CODEC 523 IA 93.&#10;Heading: PREDLOG.&#10;Originator: za generalnega sekretarja Evropske komisije: direktor Jordi AYET PUIGARNAU.&#10;Recipient: generalni sekretar Sveta Evropske unije Jeppe TRANHOLM-MIKKELSEN.&#10;Subject: PRILOGI k predlogu DIREKTIVE EVROPSKEGA PARLAMENTA IN SVETA o zastopniških tožbah za varstvo kolektivnih interesov potrošnikov in razveljavitvi Direktive 2009/22/ES (Besedilo velja za EGP).&#10;Commission Document Number: COM(2018) 184 final ANNEXES 1 to 2.&#10;Preceeding Document Number: Not Set.&#10;Location: Bruselj.&#10;Date: 12. april 2018.&#10;Interinstitutional Files: 2018/0089 (COD).&#10;Institutional Framework: Svet Evropske unije.&#10;Language: SL.&#10;Distribution Code: PUBLIC.&#10;GUID: 4921822834846522185_0" style="width:568.5pt;height:425.45pt">
            <v:imagedata r:id="rId11" o:title=""/>
          </v:shape>
        </w:pict>
      </w:r>
      <w:bookmarkEnd w:id="0"/>
    </w:p>
    <w:p w:rsidR="00A91B5E" w:rsidRDefault="00A91B5E" w:rsidP="00A91B5E">
      <w:pPr>
        <w:pStyle w:val="EntText"/>
        <w:spacing w:before="480"/>
      </w:pPr>
      <w:r w:rsidRPr="00A91B5E">
        <w:t xml:space="preserve">V prilogi vam pošiljamo dokument </w:t>
      </w:r>
      <w:r>
        <w:fldChar w:fldCharType="begin"/>
      </w:r>
      <w:r>
        <w:instrText xml:space="preserve"> QUOTE "</w:instrText>
      </w:r>
      <w:r>
        <w:fldChar w:fldCharType="begin">
          <w:fldData xml:space="preserve">QwBvAG0AbQBEAG8AYwBzAHwAUwBMAA==
</w:fldData>
        </w:fldChar>
      </w:r>
      <w:r>
        <w:instrText xml:space="preserve"> ADDIN "DocuWrite metadata link" </w:instrText>
      </w:r>
      <w:r>
        <w:fldChar w:fldCharType="end"/>
      </w:r>
      <w:r w:rsidRPr="00A91B5E">
        <w:instrText>COM(2018) 184 final ANNEXES 1 to 2</w:instrText>
      </w:r>
      <w:r>
        <w:instrText xml:space="preserve">" </w:instrText>
      </w:r>
      <w:r>
        <w:fldChar w:fldCharType="separate"/>
      </w:r>
      <w:r w:rsidRPr="00A91B5E">
        <w:t xml:space="preserve">COM(2018) 184 </w:t>
      </w:r>
      <w:proofErr w:type="spellStart"/>
      <w:r w:rsidRPr="00A91B5E">
        <w:t>final</w:t>
      </w:r>
      <w:proofErr w:type="spellEnd"/>
      <w:r w:rsidRPr="00A91B5E">
        <w:t xml:space="preserve"> ANNEXES 1 to 2</w:t>
      </w:r>
      <w:r>
        <w:fldChar w:fldCharType="end"/>
      </w:r>
      <w:r w:rsidRPr="00A91B5E">
        <w:t>.</w:t>
      </w:r>
    </w:p>
    <w:p w:rsidR="00A91B5E" w:rsidRDefault="00A91B5E" w:rsidP="00A91B5E">
      <w:pPr>
        <w:pStyle w:val="Lignefinal"/>
      </w:pPr>
    </w:p>
    <w:p w:rsidR="00A91B5E" w:rsidRPr="00A91B5E" w:rsidRDefault="00A91B5E" w:rsidP="00A91B5E">
      <w:pPr>
        <w:pStyle w:val="pj"/>
        <w:spacing w:before="120"/>
      </w:pPr>
      <w:r w:rsidRPr="00A91B5E">
        <w:t xml:space="preserve">Priloga: </w:t>
      </w:r>
      <w:r>
        <w:fldChar w:fldCharType="begin"/>
      </w:r>
      <w:r>
        <w:instrText xml:space="preserve"> QUOTE "</w:instrText>
      </w:r>
      <w:r>
        <w:fldChar w:fldCharType="begin">
          <w:fldData xml:space="preserve">QwBvAG0AbQBEAG8AYwBzAHwAUwBMAA==
</w:fldData>
        </w:fldChar>
      </w:r>
      <w:r>
        <w:instrText xml:space="preserve"> ADDIN "DocuWrite metadata link" </w:instrText>
      </w:r>
      <w:r>
        <w:fldChar w:fldCharType="end"/>
      </w:r>
      <w:r w:rsidRPr="00A91B5E">
        <w:instrText>COM(2018) 184 final ANNEXES 1 to 2</w:instrText>
      </w:r>
      <w:r>
        <w:instrText xml:space="preserve">" </w:instrText>
      </w:r>
      <w:r>
        <w:fldChar w:fldCharType="separate"/>
      </w:r>
      <w:r w:rsidRPr="00A91B5E">
        <w:t xml:space="preserve">COM(2018) 184 </w:t>
      </w:r>
      <w:proofErr w:type="spellStart"/>
      <w:r w:rsidRPr="00A91B5E">
        <w:t>final</w:t>
      </w:r>
      <w:proofErr w:type="spellEnd"/>
      <w:r w:rsidRPr="00A91B5E">
        <w:t xml:space="preserve"> ANNEXES 1 to 2</w:t>
      </w:r>
      <w:r>
        <w:fldChar w:fldCharType="end"/>
      </w:r>
    </w:p>
    <w:p w:rsidR="00A91B5E" w:rsidRDefault="00A91B5E" w:rsidP="00A91B5E">
      <w:pPr>
        <w:rPr>
          <w:noProof/>
        </w:rPr>
        <w:sectPr w:rsidR="00A91B5E" w:rsidSect="00A91B5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624" w:right="1134" w:bottom="1134" w:left="1134" w:header="567" w:footer="567" w:gutter="0"/>
          <w:pgNumType w:start="0"/>
          <w:cols w:space="720"/>
          <w:titlePg/>
          <w:docGrid w:linePitch="360"/>
        </w:sectPr>
      </w:pPr>
    </w:p>
    <w:p w:rsidR="00083405" w:rsidRDefault="005A25C5" w:rsidP="0019246D">
      <w:pPr>
        <w:pStyle w:val="Pagedecouverture"/>
        <w:rPr>
          <w:noProof/>
        </w:rPr>
      </w:pPr>
      <w:r>
        <w:rPr>
          <w:noProof/>
        </w:rPr>
        <w:lastRenderedPageBreak/>
        <w:pict>
          <v:shape id="_x0000_i1026" type="#_x0000_t75" alt="E3E5F257-28C6-40D9-80CA-1D04FD977EBC" style="width:450.7pt;height:437.6pt">
            <v:imagedata r:id="rId18" o:title=""/>
          </v:shape>
        </w:pict>
      </w:r>
    </w:p>
    <w:p w:rsidR="00083405" w:rsidRDefault="00083405">
      <w:pPr>
        <w:rPr>
          <w:noProof/>
        </w:rPr>
        <w:sectPr w:rsidR="00083405" w:rsidSect="0019246D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083405" w:rsidRDefault="0019246D">
      <w:pPr>
        <w:pStyle w:val="Annexetitre"/>
        <w:rPr>
          <w:noProof/>
        </w:rPr>
      </w:pPr>
      <w:r>
        <w:rPr>
          <w:noProof/>
        </w:rPr>
        <w:lastRenderedPageBreak/>
        <w:t>PRILOGA I</w:t>
      </w:r>
    </w:p>
    <w:p w:rsidR="00083405" w:rsidRDefault="0019246D">
      <w:pPr>
        <w:pStyle w:val="NormalCentered"/>
        <w:rPr>
          <w:noProof/>
        </w:rPr>
      </w:pPr>
      <w:r>
        <w:rPr>
          <w:noProof/>
        </w:rPr>
        <w:t>SEZNAM DOLOČB PRAVA UNIJE IZ ČLENA 2(1)</w:t>
      </w:r>
    </w:p>
    <w:p w:rsidR="00083405" w:rsidRDefault="0019246D">
      <w:pPr>
        <w:pStyle w:val="Point0number"/>
        <w:numPr>
          <w:ilvl w:val="0"/>
          <w:numId w:val="9"/>
        </w:numPr>
        <w:rPr>
          <w:noProof/>
          <w:szCs w:val="24"/>
        </w:rPr>
      </w:pPr>
      <w:r>
        <w:rPr>
          <w:noProof/>
        </w:rPr>
        <w:t>Direktiva Sveta 85/374/EGS z dne 25. julija 1985 o približevanju zakonov in drugih predpisov držav članic v zvezi z odgovornostjo za proizvode z napako (UL L 210, 7.8.1985, str. 29–33)</w:t>
      </w:r>
      <w:r>
        <w:rPr>
          <w:rStyle w:val="Sprotnaopomba-sklic"/>
          <w:noProof/>
        </w:rPr>
        <w:footnoteReference w:id="2"/>
      </w:r>
      <w:r>
        <w:rPr>
          <w:noProof/>
        </w:rPr>
        <w:t xml:space="preserve">. 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Direktiva Sveta 93/13/EGS z dne 5. aprila 1993 o nedovoljenih pogojih v potrošniških pogodbah (UL L 95, 21.4.1993, str. 29).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Direktiva 98/6/ES Evropskega parlamenta in Sveta z dne 16. februarja 1998 o varstvu potrošnikov pri označevanju cen potrošnikom ponujenih proizvodov (UL L 80, 18.3.1998, str. 27).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Direktiva 1999/44/ES Evropskega parlamenta in Sveta z dne 25. maja 1999 o nekaterih vidikih prodaje potrošniškega blaga in z njim povezanih garancij (UL L 171, 7.7.1999, str. 12).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Direktiva 2000/31/ES Evropskega parlamenta in Sveta z dne 8. junija 2000 o nekaterih pravnih vidikih storitev informacijske družbe, zlasti elektronskega poslovanja na notranjem trgu (Direktiva o elektronskem poslovanju) (UL L 178, 17.7.2000, str. 1).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Direktiva 2001/83/ES Evropskega parlamenta in Sveta z dne 6. novembra 2001 o zakoniku Skupnosti o zdravilih za uporabo v humani medicini: členi 86 do 100 (UL L 311, 28.11.2001, str. 67).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Direktiva 2002/22/ES Evropskega parlamenta in Sveta z dne 7. marca 2002 o univerzalni storitvi in pravicah uporabnikov v zvezi z elektronskimi komunikacijskimi omrežji in storitvami (Direktiva o univerzalnih storitvah) (UL L 108, 24.4.2002, str. 51–77).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Direktiva 2002/58/ES Evropskega parlamenta in Sveta z dne 12. julija 2002 o obdelavi osebnih podatkov in varstvu zasebnosti na področju elektronskih komunikacij (Direktiva o zasebnosti in elektronskih komunikacijah) (UL L 201, 31.7.2002, str. 37): člen 13.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Direktiva Evropskega parlamenta in Sveta 2002/65/ES z dne 23. septembra 2002 o trženju finančnih storitev potrošnikom na daljavo (UL L 271, 9.10.2002, str. 16).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Uredba (ES) št. 261/2004 Evropskega parlamenta in Sveta z dne 11. februarja 2004 o določitvi skupnih pravil glede odškodnine in pomoči potnikom v primerih zavrnitve vkrcanja, odpovedi ali velike zamude letov ter o razveljavitvi Uredbe (EGS) št. 295/91 (UL L 46, 17.2.2004, str. 1).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Direktiva Evropskega parlamenta in Sveta 2005/29/ES z dne 11. maja 2005 o nepoštenih poslovnih praksah podjetij v razmerju do potrošnikov na notranjem trgu (UL L 149, 11.6.2005, str. 22).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Uredba (ES) št. 1107/2006 Evropskega parlamenta in Sveta z dne 5. julija 2006 o pravicah invalidnih oseb in oseb z omejeno mobilnostjo v zračnem prevozu (UL L 204, 26.7.2006, str. 1).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lastRenderedPageBreak/>
        <w:t>Direktiva 2006/114/ES Evropskega parlamenta in Sveta z dne 12. decembra 2006 o zavajajočem in primerjalnem oglaševanju (UL L 376, 27.12.2006, str. 21): člen 1, člen 2(c) in členi 4 do 8.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Direktiva 2006/123/ES Evropskega parlamenta in Sveta z dne 12. decembra 2006 o storitvah na notranjem trgu (UL L 376, 27.12.2006, str. 36).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Uredba (ES) št. 1371/2007 Evropskega parlamenta in Sveta z dne 23. oktobra 2007 o pravicah in obveznostih potnikov v železniškem prometu (UL L 315, 3.12.2007, str. 14).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Direktiva 2008/48/ES Evropskega parlamenta in Sveta z dne 23. aprila 2008 o potrošniških kreditnih pogodbah in razveljavitvi Direktive Sveta 87/102/EGS (UL L 133, 22.5.2008, str. 66).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Uredba (ES) št. 1008/2008 Evropskega parlamenta in Sveta z dne 24. septembra 2008 o skupnih pravilih za opravljanje zračnih prevozov v Skupnosti (UL L 293, 31.10.2008, str. 3): členi 22, 23 in 24.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Uredba (ES) št. 1272/2008 Evropskega parlamenta in Sveta z dne 16. decembra 2008 o razvrščanju, označevanju in pakiranju snovi ter zmesi, o spremembi in razveljavitvi direktiv 67/548/EGS in 1999/45/ES ter spremembi Uredbe (ES) št. 1907/2006 (UL L 353, 31.12.2008, str. 1–1355).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Direktiva 2008/122/ES Evropskega parlamenta in Sveta z dne 14. januarja 2009 o varstvu potrošnikov v zvezi z nekaterimi vidiki pogodb časovnega zakupa, dolgoročnih počitniških proizvodov, nadaljnje prodaje in zamenjave (UL L 33, 3.2.2009, str. 10).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Direktiva 2009/72/ES Evropskega parlamenta in Sveta z dne 13. julija 2009 o skupnih pravilih notranjega trga z električno energijo in o razveljavitvi Direktive 2003/54/ES (UL L 211, 14.8.2009, str. 55–93).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Direktiva 2009/73/ES Evropskega parlamenta in Sveta z dne 13. julija 2009 o skupnih pravilih notranjega trga z zemeljskim plinom in o razveljavitvi Direktive 2003/55/ES (UL L 211, 14.8.2009, str. 94–136).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Direktiva 2009/65/ES Evropskega parlamenta in Sveta z dne 13. julija 2009 o usklajevanju zakonov in drugih predpisov o kolektivnih naložbenih podjemih za vlaganja v prenosljive vrednostne papirje (KNPVP) (UL L 302, 17.11.2009, str. 32–96).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Uredba (ES) št. 924/2009 Evropskega parlamenta in Sveta z dne 16. septembra 2009 o čezmejnih plačilih v Skupnosti in razveljavitvi Uredbe (ES) št. 2560/2001 (UL L 266, 9.10.2009, str. 11–18).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Direktiva 2009/110/ES Evropskega parlamenta in Sveta z dne 16. septembra 2009 o začetku opravljanja in opravljanju dejavnosti ter nadzoru skrbnega in varnega poslovanja institucij za izdajo elektronskega denarja ter o spremembah direktiv 2005/60/ES in 2006/48/ES in razveljavitvi Direktive 2000/46/ES (UL L 267, 10.10.2009, str. 7–17).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Direktiva 2009/125/ES Evropskega parlamenta in Sveta z dne 21. oktobra 2009 o vzpostavitvi okvira za določanje zahtev za okoljsko primerno zasnovo izdelkov, povezanih z energijo (UL L 285, 31.10.2009, str. 10–35).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lastRenderedPageBreak/>
        <w:t>Uredba (ES) št. 1222/2009 Evropskega parlamenta in Sveta z dne 25. novembra 2009 o označevanju pnevmatik glede na izkoristek goriva in druge bistvene parametre (UL L 342, 22.12.2009, str. 46–58).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Direktiva 2009/138/ES Evropskega parlamenta in Sveta z dne 25. novembra 2009 o začetku opravljanja in opravljanju dejavnosti zavarovanja in pozavarovanja (Solventnost II) (UL L 335, 17.12.2009, str. 1–155): členi 183, 184, 185 in 186.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Direktiva 2010/13/EU Evropskega parlamenta in Sveta z dne 10. marca 2010 o usklajevanju nekaterih zakonov in drugih predpisov držav članic o opravljanju avdiovizualnih medijskih storitev (Direktiva o avdiovizualnih medijskih storitvah) (UL L 95, 15.4.2010, str. 1): členi 9, 10 in 11 ter členi 19 do 26.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Direktiva 2010/31/EU Evropskega parlamenta in Sveta z dne 19. maja 2010 o energetski učinkovitosti stavb (UL L 153, 18.6.2010, str. 13–35).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Uredba (ES) št. 66/2010 Evropskega parlamenta in Sveta z dne 25. novembra 2009 o znaku EU za okolje (UL L 27, 30.1.2010, str. 1–19).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 xml:space="preserve">Uredba (EU) št. 1177/2010 Evropskega parlamenta in Sveta z dne 24. novembra 2010 o pravicah potnikov med potovanjem po morju in celinskih plovnih poteh ter spremembi Uredbe (ES) št. 2006/2004 (UL L 334, 17.12.2010, str. 1). 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Uredba (EU) št. 181/2011 Evropskega parlamenta in Sveta z dne 16. februarja 2011 o pravicah potnikov v avtobusnem prevozu in spremembi Uredbe (ES) št. 2006/2004 (UL L 55, 28.2.2011, str. 1).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Direktiva 2011/24/EU Evropskega parlamenta in Sveta z dne 9. marca 2011 o uveljavljanju pravic pacientov pri čezmejnem zdravstvenem varstvu (UL L 88, 4.4.2011, str. 45–65).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Direktiva 2011/61/EU Evropskega parlamenta in Sveta z dne 8. junija 2011 o upraviteljih alternativnih investicijskih skladov in spremembah direktiv 2003/41/ES in 2009/65/ES ter uredb (ES) št. 1060/2009 in (EU) št. 1095/2010 (UL L 174, 1.7.2011, str. 1–73).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Direktiva 2011/83/EU Evropskega parlamenta in Sveta z dne 25. oktobra 2011 o pravicah potrošnikov, spremembi Direktive Sveta 93/13/EGS in Direktive 1999/44/ES Evropskega parlamenta in Sveta ter razveljavitvi Direktive Sveta 85/577/EGS in Direktive 97/7/ES Evropskega parlamenta in Sveta (UL L 304, 22.11.2011, str. 64).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Uredba (EU) št. 1169/2011 Evropskega parlamenta in Sveta z dne 25. oktobra 2011 o zagotavljanju informacij o živilih potrošnikom, spremembah uredb (ES) št. 1924/2006 in (ES) št. 1925/2006 Evropskega parlamenta in Sveta ter razveljavitvi Direktive Komisije 87/250/EGS, Direktive Sveta 90/496/EGS, Direktive Komisije 1999/10/ES, Direktive 2000/13/ES Evropskega parlamenta in Sveta, direktiv Komisije 2002/67/ES in 2008/5/ES in Uredbe Komisije (ES) št. 608/2004 (UL L 304, 22.11.2011, str. 18–63).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Uredba (EU) št. 260/2012 Evropskega parlamenta in Sveta z dne 14. marca 2012 o uvajanju tehničnih in poslovnih zahtev za kreditne prenose in direktne bremenitve v eurih in o spremembi Uredbe (ES) št. 924/2009 (UL L 94, 30.3.2012, str. 22–37).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Uredba (EU) št. 531/2012 Evropskega parlamenta in Sveta z dne 13. junija 2012 o gostovanju v javnih mobilnih komunikacijskih omrežjih v Uniji (UL L 172, 30.6.2012, str. 10–35).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lastRenderedPageBreak/>
        <w:t>Direktiva 2012/27/EU Evropskega parlamenta in Sveta z dne 25. oktobra 2012 o energetski učinkovitosti, spremembi direktiv 2009/125/ES in 2010/30/EU ter razveljavitvi direktiv 2004/8/ES in 2006/32/ES (UL L 315, 14.11.2012, str. 1–56).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Direktiva 2013/11/EU Evropskega parlamenta in Sveta z dne 21. maja 2013 o alternativnem reševanju potrošniških sporov (UL L 165, 18.6.2013, str. 63): člen 13.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Uredba (EU) št. 524/2013 Evropskega parlamenta in Sveta z dne 21. maja 2013 o spletnem reševanju potrošniških sporov (Uredba o spletnem reševanju potrošniških sporov) (UL L 165, 18.6.2013, str. 1): člen 14.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Uredba (EU) št. 345/2013 Evropskega parlamenta in Sveta z dne 17. aprila 2013 o evropskih skladih tveganega kapitala (UL L 115, 25.4.2013, str. 1–17).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Uredba (EU) št. 346/2013 Evropskega parlamenta in Sveta z dne 17. aprila 2013 o evropskih skladih za socialno podjetništvo (UL L 115, 25.4.2013, str. 18–38).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Direktiva 2014/17/ЕU Evropskega parlamenta in Sveta z dne 4. februarja 2014 o potrošniških kreditnih pogodbah za stanovanjske nepremičnine in spremembi direktiv 2008/48/ES in 2013/36/EU ter Uredbe (EU) št. 1093/2010 (UL L 60, 28.2.2014, str. 34): členi 10, 11, 13, 14, 15, 16, 17, 18, 21, 22 in 23, poglavje 10 ter prilogi I in II.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Direktiva 2014/65/EU Evropskega parlamenta in Sveta z dne 15. maja 2014 o trgih finančnih instrumentov ter spremembi Direktive 2002/92/ES in Direktive 2011/61/EU (UL L 173, 12.6.2014, str. 349–496).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Direktiva 2014/92/EU Evropskega parlamenta in Sveta z dne 23. julija 2014 o primerljivosti nadomestil, povezanih s plačilnimi računi, zamenjavi plačilnih računov in dostopu do osnovnih plačilnih računov (UL L 257, 28.8.2014, str. 214): členi 3 do 18 in člen 20(2).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Direktiva (EU) 2015/2302 Evropskega parlamenta in Sveta z dne 25. novembra 2015 o paketnih potovanjih in povezanih potovalnih aranžmajih, spremembi Uredbe (ES) št. 2006/2004 in Direktive 2011/83/EU Evropskega parlamenta in Sveta ter razveljavitvi Direktive Sveta 90/314/EGS (UL L 326, 11.12.2015, str. 1).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Uredba (EU) št. 1286/2014 Evropskega parlamenta in Sveta z dne 26. novembra 2014 o dokumentih s ključnimi informacijami o paketnih naložbenih produktih za male vlagatelje in zavarovalnih naložbenih produktih (PRIIP) (UL L 352, 9.12.2014, str. 1–23).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Uredba (EU) 2015/760 Evropskega parlamenta in Sveta z dne 29. aprila 2015 o evropskih dolgoročnih investicijskih skladih (UL L 123, 19.5.2015, str. 98–121).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Direktiva (EU) 2015/2366 Evropskega parlamenta in Sveta z dne 25. novembra 2015 o plačilnih storitvah na notranjem trgu, spremembah direktiv 2002/65/ES, 2009/110/ES ter 2013/36/EU in Uredbe (EU) št. 1093/2010 ter razveljavitvi Direktive 2007/64/ES (UL L 337, 23.12.2015, str. 35–127).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Uredba (EU) 2015/2120 Evropskega parlamenta in Sveta z dne 25. novembra 2015 o določitvi ukrepov v zvezi z dostopom do odprtega interneta in spremembi Direktive 2002/22/ES o univerzalni storitvi in pravicah uporabnikov v zvezi z elektronskimi komunikacijskimi omrežji in storitvami ter Uredbe (EU) št. 531/2012 o gostovanju v javnih mobilnih komunikacijskih omrežjih v Uniji (UL L 310, 26.11.2015, str. 1–18).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lastRenderedPageBreak/>
        <w:t>Direktiva (EU) 2016/97 Evropskega parlamenta in Sveta z dne 20. januarja 2016 o distribuciji zavarovalnih produktov (prenovitev) (UL L 26, 2.2.2016, str. 19–59).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Uredba (EU) 2016/679 Evropskega parlamenta in Sveta z dne 27. aprila 2016 o varstvu posameznikov pri obdelavi osebnih podatkov in o prostem pretoku takih podatkov ter o razveljavitvi Direktive 95/46/ES (Splošna uredba o varstvu podatkov) (UL L 119, 4.5.2016, str. 1–88).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Direktiva (EU) 2016/2341 Evropskega parlamenta in Sveta z dne 14. decembra 2016 o dejavnostih in nadzoru institucij za poklicno pokojninsko zavarovanje (UL L 354, 23.12.2016, str. 37–85).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Uredba (EU) 2017/1128 Evropskega parlamenta in Sveta z dne 14. junija 2017 o čezmejni prenosljivosti storitev spletnih vsebin na notranjem trgu (UL L 168, 30.6.2017, str. 1).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Uredba (EU) 2017/1129 Evropskega parlamenta in Sveta z dne 14. junija 2017 o prospektu, ki se objavi ob ponudbi vrednostnih papirjev javnosti ali njihovi uvrstitvi v trgovanje na reguliranem trgu, in razveljavitvi Direktive 2003/71/ES (UL L 168, 30.6.2017, str. 12–82).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Uredba (EU) 2017/1131 Evropskega parlamenta in Sveta z dne 14. junija 2017 o skladih denarnega trga (UL L 169, 30.6.2017, str. 8–45).</w:t>
      </w:r>
    </w:p>
    <w:p w:rsidR="00083405" w:rsidRDefault="0019246D">
      <w:pPr>
        <w:pStyle w:val="Point0number"/>
        <w:rPr>
          <w:noProof/>
        </w:rPr>
      </w:pPr>
      <w:r>
        <w:rPr>
          <w:noProof/>
        </w:rPr>
        <w:t>Uredba (EU) 2017/1369 Evropskega parlamenta in Sveta z dne 4. julija 2017 o vzpostavitvi okvira za označevanje z energijskimi nalepkami in razveljavitvi Direktive 2010/30/EU (UL L 198, 28.7.2017, str. 1–23).</w:t>
      </w:r>
    </w:p>
    <w:p w:rsidR="00083405" w:rsidRDefault="0019246D">
      <w:pPr>
        <w:pStyle w:val="Point0number"/>
        <w:rPr>
          <w:noProof/>
        </w:rPr>
        <w:sectPr w:rsidR="00083405" w:rsidSect="0019246D">
          <w:footerReference w:type="default" r:id="rId25"/>
          <w:footerReference w:type="first" r:id="rId26"/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  <w:r>
        <w:rPr>
          <w:noProof/>
        </w:rPr>
        <w:t>Uredba (EU) 2018/302 Evropskega parlamenta in Sveta z dne 28. februarja 2018 o naslovitvi neupravičenega geografskega blokiranja in drugih oblik diskriminacije na podlagi državljanstva, kraja prebivališča ali kraja sedeža strank na notranjem trgu ter o spremembi uredb (ES) št. 2006/2004 in (EU) 2017/2394 ter Direktive 2009/22/ES (UL L 60, 2.3.2018, str. 1).</w:t>
      </w:r>
    </w:p>
    <w:p w:rsidR="00083405" w:rsidRDefault="0019246D">
      <w:pPr>
        <w:pStyle w:val="Annexetitre"/>
        <w:rPr>
          <w:noProof/>
        </w:rPr>
      </w:pPr>
      <w:r>
        <w:rPr>
          <w:noProof/>
        </w:rPr>
        <w:lastRenderedPageBreak/>
        <w:t>PRILOGA II</w:t>
      </w:r>
    </w:p>
    <w:p w:rsidR="00083405" w:rsidRDefault="0019246D">
      <w:pPr>
        <w:pStyle w:val="NormalCentered"/>
        <w:rPr>
          <w:noProof/>
        </w:rPr>
      </w:pPr>
      <w:r>
        <w:rPr>
          <w:noProof/>
        </w:rPr>
        <w:t>KORELACIJSKA TABELA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44"/>
        <w:gridCol w:w="4645"/>
      </w:tblGrid>
      <w:tr w:rsidR="00083405">
        <w:tc>
          <w:tcPr>
            <w:tcW w:w="4644" w:type="dxa"/>
          </w:tcPr>
          <w:p w:rsidR="00083405" w:rsidRDefault="0019246D">
            <w:pPr>
              <w:pStyle w:val="NormalCentered"/>
              <w:rPr>
                <w:noProof/>
              </w:rPr>
            </w:pPr>
            <w:r>
              <w:rPr>
                <w:noProof/>
              </w:rPr>
              <w:t>Direktiva 2009/22/ES</w:t>
            </w:r>
          </w:p>
        </w:tc>
        <w:tc>
          <w:tcPr>
            <w:tcW w:w="4645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Ta direktiva </w:t>
            </w:r>
          </w:p>
        </w:tc>
      </w:tr>
      <w:tr w:rsidR="00083405">
        <w:tc>
          <w:tcPr>
            <w:tcW w:w="4644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Člen 1(1)</w:t>
            </w:r>
          </w:p>
        </w:tc>
        <w:tc>
          <w:tcPr>
            <w:tcW w:w="4645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Člen 1(1)</w:t>
            </w:r>
          </w:p>
        </w:tc>
      </w:tr>
      <w:tr w:rsidR="00083405">
        <w:tc>
          <w:tcPr>
            <w:tcW w:w="4644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Člen 1(2)</w:t>
            </w:r>
          </w:p>
        </w:tc>
        <w:tc>
          <w:tcPr>
            <w:tcW w:w="4645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Člen 2(1)</w:t>
            </w:r>
          </w:p>
        </w:tc>
      </w:tr>
      <w:tr w:rsidR="00083405">
        <w:tc>
          <w:tcPr>
            <w:tcW w:w="4644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–</w:t>
            </w:r>
          </w:p>
        </w:tc>
        <w:tc>
          <w:tcPr>
            <w:tcW w:w="4645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Člen 2(2)</w:t>
            </w:r>
          </w:p>
        </w:tc>
      </w:tr>
      <w:tr w:rsidR="00083405">
        <w:tc>
          <w:tcPr>
            <w:tcW w:w="4644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–</w:t>
            </w:r>
          </w:p>
        </w:tc>
        <w:tc>
          <w:tcPr>
            <w:tcW w:w="4645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Člen 3</w:t>
            </w:r>
          </w:p>
        </w:tc>
      </w:tr>
      <w:tr w:rsidR="00083405">
        <w:tc>
          <w:tcPr>
            <w:tcW w:w="4644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Člen 2(1) </w:t>
            </w:r>
          </w:p>
        </w:tc>
        <w:tc>
          <w:tcPr>
            <w:tcW w:w="4645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Člen 5(1)</w:t>
            </w:r>
          </w:p>
        </w:tc>
      </w:tr>
      <w:tr w:rsidR="00083405">
        <w:tc>
          <w:tcPr>
            <w:tcW w:w="4644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Člen 2(1), točka (a)</w:t>
            </w:r>
          </w:p>
        </w:tc>
        <w:tc>
          <w:tcPr>
            <w:tcW w:w="4645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Člen 5(2), točki (a) in (b)</w:t>
            </w:r>
          </w:p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Člen 12</w:t>
            </w:r>
          </w:p>
        </w:tc>
      </w:tr>
      <w:tr w:rsidR="00083405">
        <w:tc>
          <w:tcPr>
            <w:tcW w:w="4644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–</w:t>
            </w:r>
          </w:p>
        </w:tc>
        <w:tc>
          <w:tcPr>
            <w:tcW w:w="4645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Člen 5(2), drugi pododstavek </w:t>
            </w:r>
          </w:p>
          <w:p w:rsidR="00083405" w:rsidRDefault="00083405">
            <w:pPr>
              <w:jc w:val="center"/>
              <w:rPr>
                <w:noProof/>
              </w:rPr>
            </w:pPr>
          </w:p>
        </w:tc>
      </w:tr>
      <w:tr w:rsidR="00083405">
        <w:tc>
          <w:tcPr>
            <w:tcW w:w="4644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Člen 2(1), točka (b)</w:t>
            </w:r>
          </w:p>
        </w:tc>
        <w:tc>
          <w:tcPr>
            <w:tcW w:w="4645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Člen 5(3)</w:t>
            </w:r>
          </w:p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Člen 9</w:t>
            </w:r>
          </w:p>
        </w:tc>
      </w:tr>
      <w:tr w:rsidR="00083405">
        <w:tc>
          <w:tcPr>
            <w:tcW w:w="4644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Člen 2(1), točka (c)</w:t>
            </w:r>
          </w:p>
        </w:tc>
        <w:tc>
          <w:tcPr>
            <w:tcW w:w="4645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Člen 14</w:t>
            </w:r>
          </w:p>
        </w:tc>
      </w:tr>
      <w:tr w:rsidR="00083405">
        <w:tc>
          <w:tcPr>
            <w:tcW w:w="4644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Člen 2(2)</w:t>
            </w:r>
          </w:p>
        </w:tc>
        <w:tc>
          <w:tcPr>
            <w:tcW w:w="4645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Člen 2(3)</w:t>
            </w:r>
          </w:p>
        </w:tc>
      </w:tr>
      <w:tr w:rsidR="00083405">
        <w:tc>
          <w:tcPr>
            <w:tcW w:w="4644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Člen 3</w:t>
            </w:r>
          </w:p>
        </w:tc>
        <w:tc>
          <w:tcPr>
            <w:tcW w:w="4645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Člen 4(1)−(3)</w:t>
            </w:r>
          </w:p>
        </w:tc>
      </w:tr>
      <w:tr w:rsidR="00083405">
        <w:tc>
          <w:tcPr>
            <w:tcW w:w="4644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–</w:t>
            </w:r>
          </w:p>
        </w:tc>
        <w:tc>
          <w:tcPr>
            <w:tcW w:w="4645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Člen 4(4) </w:t>
            </w:r>
          </w:p>
        </w:tc>
      </w:tr>
      <w:tr w:rsidR="00083405">
        <w:tc>
          <w:tcPr>
            <w:tcW w:w="4644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–</w:t>
            </w:r>
          </w:p>
        </w:tc>
        <w:tc>
          <w:tcPr>
            <w:tcW w:w="4645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Člen 4(5)</w:t>
            </w:r>
          </w:p>
        </w:tc>
      </w:tr>
      <w:tr w:rsidR="00083405">
        <w:tc>
          <w:tcPr>
            <w:tcW w:w="4644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–</w:t>
            </w:r>
          </w:p>
        </w:tc>
        <w:tc>
          <w:tcPr>
            <w:tcW w:w="4645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Člen 5(4)</w:t>
            </w:r>
          </w:p>
          <w:p w:rsidR="00083405" w:rsidRDefault="00083405">
            <w:pPr>
              <w:rPr>
                <w:noProof/>
              </w:rPr>
            </w:pPr>
          </w:p>
        </w:tc>
      </w:tr>
      <w:tr w:rsidR="00083405">
        <w:tc>
          <w:tcPr>
            <w:tcW w:w="4644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–</w:t>
            </w:r>
          </w:p>
        </w:tc>
        <w:tc>
          <w:tcPr>
            <w:tcW w:w="4645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Člen 6</w:t>
            </w:r>
          </w:p>
        </w:tc>
      </w:tr>
      <w:tr w:rsidR="00083405">
        <w:tc>
          <w:tcPr>
            <w:tcW w:w="4644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–</w:t>
            </w:r>
          </w:p>
        </w:tc>
        <w:tc>
          <w:tcPr>
            <w:tcW w:w="4645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Člen 7</w:t>
            </w:r>
          </w:p>
        </w:tc>
      </w:tr>
      <w:tr w:rsidR="00083405">
        <w:tc>
          <w:tcPr>
            <w:tcW w:w="4644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–</w:t>
            </w:r>
          </w:p>
        </w:tc>
        <w:tc>
          <w:tcPr>
            <w:tcW w:w="4645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Člen 8</w:t>
            </w:r>
          </w:p>
        </w:tc>
      </w:tr>
      <w:tr w:rsidR="00083405">
        <w:tc>
          <w:tcPr>
            <w:tcW w:w="4644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–</w:t>
            </w:r>
          </w:p>
        </w:tc>
        <w:tc>
          <w:tcPr>
            <w:tcW w:w="4645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Člen 10</w:t>
            </w:r>
          </w:p>
        </w:tc>
      </w:tr>
      <w:tr w:rsidR="00083405">
        <w:tc>
          <w:tcPr>
            <w:tcW w:w="4644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–</w:t>
            </w:r>
          </w:p>
        </w:tc>
        <w:tc>
          <w:tcPr>
            <w:tcW w:w="4645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Člen 11</w:t>
            </w:r>
          </w:p>
        </w:tc>
      </w:tr>
      <w:tr w:rsidR="00083405">
        <w:tc>
          <w:tcPr>
            <w:tcW w:w="4644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–</w:t>
            </w:r>
          </w:p>
        </w:tc>
        <w:tc>
          <w:tcPr>
            <w:tcW w:w="4645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Člen 13</w:t>
            </w:r>
          </w:p>
        </w:tc>
      </w:tr>
      <w:tr w:rsidR="00083405">
        <w:tc>
          <w:tcPr>
            <w:tcW w:w="4644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–</w:t>
            </w:r>
          </w:p>
        </w:tc>
        <w:tc>
          <w:tcPr>
            <w:tcW w:w="4645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Člen 15</w:t>
            </w:r>
          </w:p>
        </w:tc>
      </w:tr>
      <w:tr w:rsidR="00083405">
        <w:tc>
          <w:tcPr>
            <w:tcW w:w="4644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Člen 4</w:t>
            </w:r>
          </w:p>
        </w:tc>
        <w:tc>
          <w:tcPr>
            <w:tcW w:w="4645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Člen 16</w:t>
            </w:r>
          </w:p>
        </w:tc>
      </w:tr>
      <w:tr w:rsidR="00083405">
        <w:tc>
          <w:tcPr>
            <w:tcW w:w="4644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Člen 5</w:t>
            </w:r>
          </w:p>
        </w:tc>
        <w:tc>
          <w:tcPr>
            <w:tcW w:w="4645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–</w:t>
            </w:r>
          </w:p>
        </w:tc>
      </w:tr>
      <w:tr w:rsidR="00083405">
        <w:tc>
          <w:tcPr>
            <w:tcW w:w="4644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Člen 6</w:t>
            </w:r>
          </w:p>
        </w:tc>
        <w:tc>
          <w:tcPr>
            <w:tcW w:w="4645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Člen 18</w:t>
            </w:r>
          </w:p>
        </w:tc>
      </w:tr>
      <w:tr w:rsidR="00083405">
        <w:tc>
          <w:tcPr>
            <w:tcW w:w="4644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Člen 7</w:t>
            </w:r>
          </w:p>
        </w:tc>
        <w:tc>
          <w:tcPr>
            <w:tcW w:w="4645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Člen 1(2)</w:t>
            </w:r>
          </w:p>
        </w:tc>
      </w:tr>
      <w:tr w:rsidR="00083405">
        <w:tc>
          <w:tcPr>
            <w:tcW w:w="4644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Člen 8</w:t>
            </w:r>
          </w:p>
        </w:tc>
        <w:tc>
          <w:tcPr>
            <w:tcW w:w="4645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Člen 19</w:t>
            </w:r>
          </w:p>
        </w:tc>
      </w:tr>
      <w:tr w:rsidR="00083405">
        <w:tc>
          <w:tcPr>
            <w:tcW w:w="4644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Člen 9</w:t>
            </w:r>
          </w:p>
        </w:tc>
        <w:tc>
          <w:tcPr>
            <w:tcW w:w="4645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Člen 17</w:t>
            </w:r>
          </w:p>
        </w:tc>
      </w:tr>
      <w:tr w:rsidR="00083405">
        <w:tc>
          <w:tcPr>
            <w:tcW w:w="4644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–</w:t>
            </w:r>
          </w:p>
        </w:tc>
        <w:tc>
          <w:tcPr>
            <w:tcW w:w="4645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Člen 20</w:t>
            </w:r>
          </w:p>
        </w:tc>
      </w:tr>
      <w:tr w:rsidR="00083405">
        <w:tc>
          <w:tcPr>
            <w:tcW w:w="4644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Člen 10</w:t>
            </w:r>
          </w:p>
        </w:tc>
        <w:tc>
          <w:tcPr>
            <w:tcW w:w="4645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Člen 21</w:t>
            </w:r>
          </w:p>
        </w:tc>
      </w:tr>
      <w:tr w:rsidR="00083405">
        <w:tc>
          <w:tcPr>
            <w:tcW w:w="4644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Člen 11</w:t>
            </w:r>
          </w:p>
        </w:tc>
        <w:tc>
          <w:tcPr>
            <w:tcW w:w="4645" w:type="dxa"/>
          </w:tcPr>
          <w:p w:rsidR="00083405" w:rsidRDefault="0019246D">
            <w:pPr>
              <w:jc w:val="center"/>
              <w:rPr>
                <w:noProof/>
              </w:rPr>
            </w:pPr>
            <w:r>
              <w:rPr>
                <w:noProof/>
              </w:rPr>
              <w:t>Člen 22</w:t>
            </w:r>
          </w:p>
        </w:tc>
      </w:tr>
    </w:tbl>
    <w:p w:rsidR="00083405" w:rsidRPr="0019246D" w:rsidRDefault="00083405">
      <w:pPr>
        <w:rPr>
          <w:noProof/>
        </w:rPr>
      </w:pPr>
    </w:p>
    <w:sectPr w:rsidR="00083405" w:rsidRPr="0019246D" w:rsidSect="0019246D"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5C5" w:rsidRDefault="005A25C5">
      <w:pPr>
        <w:spacing w:before="0" w:after="0"/>
      </w:pPr>
      <w:r>
        <w:separator/>
      </w:r>
    </w:p>
  </w:endnote>
  <w:endnote w:type="continuationSeparator" w:id="0">
    <w:p w:rsidR="005A25C5" w:rsidRDefault="005A25C5">
      <w:pPr>
        <w:spacing w:before="0" w:after="0"/>
      </w:pPr>
      <w:r>
        <w:continuationSeparator/>
      </w:r>
    </w:p>
  </w:endnote>
  <w:endnote w:type="continuationNotice" w:id="1">
    <w:p w:rsidR="005A25C5" w:rsidRDefault="005A25C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46D" w:rsidRPr="00A91B5E" w:rsidRDefault="0019246D" w:rsidP="00A91B5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A91B5E" w:rsidRPr="00D94637" w:rsidTr="00A91B5E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A91B5E" w:rsidRPr="00D94637" w:rsidRDefault="00A91B5E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2" w:name="FOOTER_STANDARD"/>
        </w:p>
      </w:tc>
    </w:tr>
    <w:tr w:rsidR="00A91B5E" w:rsidRPr="00B310DC" w:rsidTr="00A91B5E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A91B5E" w:rsidRPr="00AD7BF2" w:rsidRDefault="00A91B5E" w:rsidP="004F54B2">
          <w:pPr>
            <w:pStyle w:val="FooterText"/>
          </w:pPr>
          <w:r>
            <w:t>7877/18</w:t>
          </w:r>
          <w:r w:rsidRPr="002511D8">
            <w:t xml:space="preserve"> </w:t>
          </w:r>
          <w:r>
            <w:t>ADD 1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A91B5E" w:rsidRPr="00AD7BF2" w:rsidRDefault="00A91B5E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="00A91B5E" w:rsidRPr="002511D8" w:rsidRDefault="00A91B5E" w:rsidP="00D94637">
          <w:pPr>
            <w:pStyle w:val="FooterText"/>
            <w:jc w:val="center"/>
          </w:pPr>
          <w:proofErr w:type="spellStart"/>
          <w:r>
            <w:t>lst</w:t>
          </w:r>
          <w:proofErr w:type="spellEnd"/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="00A91B5E" w:rsidRPr="00B310DC" w:rsidRDefault="00A91B5E" w:rsidP="00A91B5E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FC2546">
            <w:rPr>
              <w:noProof/>
            </w:rPr>
            <w:t>0</w:t>
          </w:r>
          <w:r>
            <w:fldChar w:fldCharType="end"/>
          </w:r>
        </w:p>
      </w:tc>
    </w:tr>
    <w:tr w:rsidR="00A91B5E" w:rsidRPr="00D94637" w:rsidTr="00A91B5E">
      <w:trPr>
        <w:jc w:val="center"/>
      </w:trPr>
      <w:tc>
        <w:tcPr>
          <w:tcW w:w="1774" w:type="pct"/>
          <w:shd w:val="clear" w:color="auto" w:fill="auto"/>
        </w:tcPr>
        <w:p w:rsidR="00A91B5E" w:rsidRPr="00AD7BF2" w:rsidRDefault="00A91B5E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A91B5E" w:rsidRPr="00AD7BF2" w:rsidRDefault="00A91B5E" w:rsidP="00D204D6">
          <w:pPr>
            <w:pStyle w:val="FooterText"/>
            <w:spacing w:before="40"/>
            <w:jc w:val="center"/>
          </w:pPr>
          <w:r>
            <w:t>DG G 3A</w:t>
          </w:r>
        </w:p>
      </w:tc>
      <w:tc>
        <w:tcPr>
          <w:tcW w:w="742" w:type="pct"/>
          <w:shd w:val="clear" w:color="auto" w:fill="auto"/>
        </w:tcPr>
        <w:p w:rsidR="00A91B5E" w:rsidRPr="00D94637" w:rsidRDefault="00A91B5E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="00A91B5E" w:rsidRPr="00D94637" w:rsidRDefault="00A91B5E" w:rsidP="00D94637">
          <w:pPr>
            <w:pStyle w:val="FooterText"/>
            <w:jc w:val="right"/>
            <w:rPr>
              <w:sz w:val="16"/>
            </w:rPr>
          </w:pPr>
          <w:r>
            <w:rPr>
              <w:b/>
              <w:position w:val="-4"/>
              <w:sz w:val="36"/>
            </w:rPr>
            <w:t>SL</w:t>
          </w:r>
        </w:p>
      </w:tc>
    </w:tr>
    <w:bookmarkEnd w:id="2"/>
  </w:tbl>
  <w:p w:rsidR="00083405" w:rsidRPr="00A91B5E" w:rsidRDefault="00083405" w:rsidP="00A91B5E">
    <w:pPr>
      <w:pStyle w:val="FooterCounci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A91B5E" w:rsidRPr="00D94637" w:rsidTr="00A91B5E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A91B5E" w:rsidRPr="00D94637" w:rsidRDefault="00A91B5E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</w:p>
      </w:tc>
    </w:tr>
    <w:tr w:rsidR="00A91B5E" w:rsidRPr="00B310DC" w:rsidTr="00A91B5E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A91B5E" w:rsidRPr="00AD7BF2" w:rsidRDefault="00A91B5E" w:rsidP="004F54B2">
          <w:pPr>
            <w:pStyle w:val="FooterText"/>
          </w:pPr>
          <w:r>
            <w:t>7877/18</w:t>
          </w:r>
          <w:r w:rsidRPr="002511D8">
            <w:t xml:space="preserve"> </w:t>
          </w:r>
          <w:r>
            <w:t>ADD 1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A91B5E" w:rsidRPr="00AD7BF2" w:rsidRDefault="00A91B5E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="00A91B5E" w:rsidRPr="002511D8" w:rsidRDefault="00A91B5E" w:rsidP="00D94637">
          <w:pPr>
            <w:pStyle w:val="FooterText"/>
            <w:jc w:val="center"/>
          </w:pPr>
          <w:proofErr w:type="spellStart"/>
          <w:r>
            <w:t>lst</w:t>
          </w:r>
          <w:proofErr w:type="spellEnd"/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="00A91B5E" w:rsidRPr="00B310DC" w:rsidRDefault="00A91B5E" w:rsidP="00D94637">
          <w:pPr>
            <w:pStyle w:val="FooterText"/>
            <w:jc w:val="right"/>
          </w:pPr>
        </w:p>
      </w:tc>
    </w:tr>
    <w:tr w:rsidR="00A91B5E" w:rsidRPr="00D94637" w:rsidTr="00A91B5E">
      <w:trPr>
        <w:jc w:val="center"/>
      </w:trPr>
      <w:tc>
        <w:tcPr>
          <w:tcW w:w="1774" w:type="pct"/>
          <w:shd w:val="clear" w:color="auto" w:fill="auto"/>
        </w:tcPr>
        <w:p w:rsidR="00A91B5E" w:rsidRPr="00AD7BF2" w:rsidRDefault="00A91B5E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A91B5E" w:rsidRPr="00AD7BF2" w:rsidRDefault="00A91B5E" w:rsidP="00D204D6">
          <w:pPr>
            <w:pStyle w:val="FooterText"/>
            <w:spacing w:before="40"/>
            <w:jc w:val="center"/>
          </w:pPr>
          <w:r>
            <w:t>DG G 3A</w:t>
          </w:r>
        </w:p>
      </w:tc>
      <w:tc>
        <w:tcPr>
          <w:tcW w:w="742" w:type="pct"/>
          <w:shd w:val="clear" w:color="auto" w:fill="auto"/>
        </w:tcPr>
        <w:p w:rsidR="00A91B5E" w:rsidRPr="00D94637" w:rsidRDefault="00A91B5E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="00A91B5E" w:rsidRPr="00D94637" w:rsidRDefault="00A91B5E" w:rsidP="00D94637">
          <w:pPr>
            <w:pStyle w:val="FooterText"/>
            <w:jc w:val="right"/>
            <w:rPr>
              <w:sz w:val="16"/>
            </w:rPr>
          </w:pPr>
          <w:r>
            <w:rPr>
              <w:b/>
              <w:position w:val="-4"/>
              <w:sz w:val="36"/>
            </w:rPr>
            <w:t>SL</w:t>
          </w:r>
        </w:p>
      </w:tc>
    </w:tr>
  </w:tbl>
  <w:p w:rsidR="0019246D" w:rsidRPr="00A91B5E" w:rsidRDefault="0019246D" w:rsidP="00A91B5E">
    <w:pPr>
      <w:pStyle w:val="FooterCouncil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B5E" w:rsidRPr="0019246D" w:rsidRDefault="00A91B5E" w:rsidP="0019246D">
    <w:pPr>
      <w:pStyle w:val="Nog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B5E" w:rsidRPr="0019246D" w:rsidRDefault="00A91B5E" w:rsidP="0019246D">
    <w:pPr>
      <w:pStyle w:val="Noga"/>
      <w:rPr>
        <w:rFonts w:ascii="Arial" w:hAnsi="Arial" w:cs="Arial"/>
        <w:b/>
        <w:sz w:val="48"/>
      </w:rPr>
    </w:pPr>
    <w:r w:rsidRPr="0019246D">
      <w:rPr>
        <w:rFonts w:ascii="Arial" w:hAnsi="Arial" w:cs="Arial"/>
        <w:b/>
        <w:sz w:val="48"/>
      </w:rPr>
      <w:t>SL</w:t>
    </w:r>
    <w:r w:rsidRPr="0019246D">
      <w:rPr>
        <w:rFonts w:ascii="Arial" w:hAnsi="Arial" w:cs="Arial"/>
        <w:b/>
        <w:sz w:val="48"/>
      </w:rPr>
      <w:tab/>
    </w:r>
    <w:r w:rsidRPr="0019246D">
      <w:rPr>
        <w:rFonts w:ascii="Arial" w:hAnsi="Arial" w:cs="Arial"/>
        <w:b/>
        <w:sz w:val="48"/>
      </w:rPr>
      <w:tab/>
    </w:r>
    <w:r w:rsidRPr="0019246D">
      <w:tab/>
    </w:r>
    <w:proofErr w:type="spellStart"/>
    <w:r w:rsidRPr="0019246D">
      <w:rPr>
        <w:rFonts w:ascii="Arial" w:hAnsi="Arial" w:cs="Arial"/>
        <w:b/>
        <w:sz w:val="48"/>
      </w:rPr>
      <w:t>SL</w:t>
    </w:r>
    <w:proofErr w:type="spellEnd"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B5E" w:rsidRPr="0019246D" w:rsidRDefault="00A91B5E" w:rsidP="0019246D">
    <w:pPr>
      <w:pStyle w:val="Noga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46D" w:rsidRPr="0019246D" w:rsidRDefault="0019246D" w:rsidP="0019246D">
    <w:pPr>
      <w:pStyle w:val="Noga"/>
      <w:rPr>
        <w:rFonts w:ascii="Arial" w:hAnsi="Arial" w:cs="Arial"/>
        <w:b/>
        <w:sz w:val="48"/>
      </w:rPr>
    </w:pPr>
    <w:r w:rsidRPr="0019246D">
      <w:rPr>
        <w:rFonts w:ascii="Arial" w:hAnsi="Arial" w:cs="Arial"/>
        <w:b/>
        <w:sz w:val="48"/>
      </w:rPr>
      <w:t>SL</w:t>
    </w:r>
    <w:r w:rsidRPr="0019246D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AE48C6">
      <w:rPr>
        <w:noProof/>
      </w:rPr>
      <w:t>7</w:t>
    </w:r>
    <w:r>
      <w:fldChar w:fldCharType="end"/>
    </w:r>
    <w:r>
      <w:tab/>
    </w:r>
    <w:r w:rsidRPr="0019246D">
      <w:tab/>
    </w:r>
    <w:r w:rsidRPr="0019246D">
      <w:rPr>
        <w:rFonts w:ascii="Arial" w:hAnsi="Arial" w:cs="Arial"/>
        <w:b/>
        <w:sz w:val="48"/>
      </w:rPr>
      <w:t>SL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46D" w:rsidRPr="0019246D" w:rsidRDefault="0019246D" w:rsidP="0019246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5C5" w:rsidRDefault="005A25C5">
      <w:pPr>
        <w:spacing w:before="0" w:after="0"/>
      </w:pPr>
      <w:r>
        <w:separator/>
      </w:r>
    </w:p>
  </w:footnote>
  <w:footnote w:type="continuationSeparator" w:id="0">
    <w:p w:rsidR="005A25C5" w:rsidRDefault="005A25C5">
      <w:pPr>
        <w:spacing w:before="0" w:after="0"/>
      </w:pPr>
      <w:r>
        <w:continuationSeparator/>
      </w:r>
    </w:p>
  </w:footnote>
  <w:footnote w:type="continuationNotice" w:id="1">
    <w:p w:rsidR="005A25C5" w:rsidRDefault="005A25C5">
      <w:pPr>
        <w:spacing w:before="0" w:after="0"/>
      </w:pPr>
    </w:p>
  </w:footnote>
  <w:footnote w:id="2">
    <w:p w:rsidR="00083405" w:rsidRDefault="0019246D">
      <w:pPr>
        <w:pStyle w:val="Sprotnaopomba-besedilo"/>
      </w:pPr>
      <w:r>
        <w:rPr>
          <w:rStyle w:val="Sprotnaopomba-sklic"/>
        </w:rPr>
        <w:footnoteRef/>
      </w:r>
      <w:r>
        <w:tab/>
        <w:t>Navedena direktiva je bila spremenjena z Direktivo 1999/34/ES Evropskega parlamenta in Sveta z dne 10. maja 1999 o spremembi Direktive Sveta 85/374/EGS o prilagajanju zakonov in drugih predpisov držav članic v zvezi z odgovornostjo za proizvode z napako (UL L 141, 4.6.1999, str. 20–21).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46D" w:rsidRPr="00A91B5E" w:rsidRDefault="0019246D" w:rsidP="00A91B5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46D" w:rsidRPr="00A91B5E" w:rsidRDefault="00A91B5E" w:rsidP="00A91B5E">
    <w:pPr>
      <w:pStyle w:val="HeaderCouncilLarge"/>
    </w:pPr>
    <w:r>
      <w:t> 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46D" w:rsidRPr="00A91B5E" w:rsidRDefault="00A91B5E" w:rsidP="00A91B5E">
    <w:pPr>
      <w:pStyle w:val="HeaderCouncil"/>
    </w:pPr>
    <w:r>
      <w:t> 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B5E" w:rsidRPr="0019246D" w:rsidRDefault="00A91B5E" w:rsidP="0019246D">
    <w:pPr>
      <w:pStyle w:val="Glav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B5E" w:rsidRPr="0019246D" w:rsidRDefault="00A91B5E" w:rsidP="0019246D">
    <w:pPr>
      <w:pStyle w:val="Glava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B5E" w:rsidRPr="0019246D" w:rsidRDefault="00A91B5E" w:rsidP="0019246D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E91A3450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133C649C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D345C1E"/>
    <w:lvl w:ilvl="0">
      <w:start w:val="1"/>
      <w:numFmt w:val="decimal"/>
      <w:pStyle w:val="Otevile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45B6C3BA"/>
    <w:lvl w:ilvl="0">
      <w:start w:val="1"/>
      <w:numFmt w:val="bullet"/>
      <w:pStyle w:val="Oznaenseznam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473A105E"/>
    <w:lvl w:ilvl="0">
      <w:start w:val="1"/>
      <w:numFmt w:val="bullet"/>
      <w:pStyle w:val="Oznaenseznam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CC7C28A6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CABE6764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B6D0F25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Naslov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2"/>
  </w:num>
  <w:num w:numId="12">
    <w:abstractNumId w:val="20"/>
  </w:num>
  <w:num w:numId="13">
    <w:abstractNumId w:val="11"/>
  </w:num>
  <w:num w:numId="14">
    <w:abstractNumId w:val="13"/>
  </w:num>
  <w:num w:numId="15">
    <w:abstractNumId w:val="9"/>
  </w:num>
  <w:num w:numId="16">
    <w:abstractNumId w:val="19"/>
  </w:num>
  <w:num w:numId="17">
    <w:abstractNumId w:val="8"/>
  </w:num>
  <w:num w:numId="18">
    <w:abstractNumId w:val="14"/>
  </w:num>
  <w:num w:numId="19">
    <w:abstractNumId w:val="16"/>
  </w:num>
  <w:num w:numId="20">
    <w:abstractNumId w:val="17"/>
  </w:num>
  <w:num w:numId="21">
    <w:abstractNumId w:val="10"/>
  </w:num>
  <w:num w:numId="22">
    <w:abstractNumId w:val="15"/>
  </w:num>
  <w:num w:numId="23">
    <w:abstractNumId w:val="21"/>
  </w:num>
  <w:num w:numId="24">
    <w:abstractNumId w:val="18"/>
  </w:num>
  <w:num w:numId="25">
    <w:abstractNumId w:val="12"/>
  </w:num>
  <w:num w:numId="26">
    <w:abstractNumId w:val="20"/>
  </w:num>
  <w:num w:numId="27">
    <w:abstractNumId w:val="11"/>
  </w:num>
  <w:num w:numId="28">
    <w:abstractNumId w:val="13"/>
  </w:num>
  <w:num w:numId="29">
    <w:abstractNumId w:val="9"/>
  </w:num>
  <w:num w:numId="30">
    <w:abstractNumId w:val="19"/>
  </w:num>
  <w:num w:numId="31">
    <w:abstractNumId w:val="8"/>
  </w:num>
  <w:num w:numId="32">
    <w:abstractNumId w:val="14"/>
  </w:num>
  <w:num w:numId="33">
    <w:abstractNumId w:val="16"/>
  </w:num>
  <w:num w:numId="34">
    <w:abstractNumId w:val="17"/>
  </w:num>
  <w:num w:numId="35">
    <w:abstractNumId w:val="10"/>
  </w:num>
  <w:num w:numId="36">
    <w:abstractNumId w:val="15"/>
  </w:num>
  <w:num w:numId="37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uncil" w:val="true"/>
    <w:docVar w:name="CoverPageOnWordDoc" w:val="false"/>
    <w:docVar w:name="DocuWriteMetaData" w:val="&lt;metadataset docuwriteversion=&quot;4.1.18&quot; technicalblockguid=&quot;4921822834846522185&quot;&gt;_x000d__x000a_  &lt;metadata key=&quot;md_DocumentLanguages&quot;&gt;_x000d__x000a_    &lt;basicdatatypelist&gt;_x000d__x000a_      &lt;language key=&quot;SL&quot; text=&quot;SL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UniqueHeading&quot;&gt;_x000d__x000a_    &lt;basicdatatype&gt;_x000d__x000a_      &lt;heading key=&quot;uh_65&quot; text=&quot;PREDLOG&quot; /&gt;_x000d__x000a_    &lt;/basicdatatype&gt;_x000d__x000a_  &lt;/metadata&gt;_x000d__x000a_  &lt;metadata key=&quot;md_HeadingText&quot;&gt;_x000d__x000a_    &lt;headingtext text=&quot;PREDLOG&quot;&gt;_x000d__x000a_      &lt;formattedtext&gt;_x000d__x000a_        &lt;xaml text=&quot;PREDLOG&quot;&gt;&amp;lt;FlowDocument xmlns=&quot;http://schemas.microsoft.com/winfx/2006/xaml/presentation&quot;&amp;gt;&amp;lt;Paragraph&amp;gt;PREDLOG&amp;lt;/Paragraph&amp;gt;&amp;lt;/FlowDocument&amp;gt;&lt;/xaml&gt;_x000d__x000a_      &lt;/formattedtext&gt;_x000d__x000a_    &lt;/headingtext&gt;_x000d__x000a_  &lt;/metadata&gt;_x000d__x000a_  &lt;metadata key=&quot;md_DocumentGroup&quot;&gt;_x000d__x000a_    &lt;basicdatatype&gt;_x000d__x000a_      &lt;document_group key=&quot;dg_12&quot; text=&quot;Cover Page&quot; /&gt;_x000d__x000a_    &lt;/basicdatatype&gt;_x000d__x000a_  &lt;/metadata&gt;_x000d__x000a_  &lt;metadata key=&quot;md_DocumentType&quot;&gt;_x000d__x000a_    &lt;basicdatatype&gt;_x000d__x000a_      &lt;doc_type key=&quot;dt_ST&quot; text=&quot;ST&quot; /&gt;_x000d__x000a_    &lt;/basicdatatype&gt;_x000d__x000a_  &lt;/metadata&gt;_x000d__x000a_  &lt;metadata key=&quot;md_InstitutionalFramework&quot;&gt;_x000d__x000a_    &lt;basicdatatype&gt;_x000d__x000a_      &lt;framework key=&quot;if_01&quot; text=&quot;Svet Evropske unije&quot; institution=&quot;instfr_institution&quot; acronym=&quot;instfr_acronym&quot; /&gt;_x000d__x000a_    &lt;/basicdatatype&gt;_x000d__x000a_  &lt;/metadata&gt;_x000d__x000a_  &lt;metadata key=&quot;md_DraftNote&quot; /&gt;_x000d__x000a_  &lt;metadata key=&quot;md_DocumentLocation&quot;&gt;_x000d__x000a_    &lt;basicdatatype&gt;_x000d__x000a_      &lt;location key=&quot;loc_01&quot; text=&quot;Bruselj&quot; /&gt;_x000d__x000a_    &lt;/basicdatatype&gt;_x000d__x000a_  &lt;/metadata&gt;_x000d__x000a_  &lt;metadata key=&quot;md_DocumentDate&quot;&gt;_x000d__x000a_    &lt;text&gt;2018-04-12&lt;/text&gt;_x000d__x000a_  &lt;/metadata&gt;_x000d__x000a_  &lt;metadata key=&quot;md_Prefix&quot;&gt;_x000d__x000a_    &lt;text&gt;&lt;/text&gt;_x000d__x000a_  &lt;/metadata&gt;_x000d__x000a_  &lt;metadata key=&quot;md_DocumentNumber&quot;&gt;_x000d__x000a_    &lt;text&gt;7877&lt;/text&gt;_x000d__x000a_  &lt;/metadata&gt;_x000d__x000a_  &lt;metadata key=&quot;md_YearDocumentNumber&quot;&gt;_x000d__x000a_    &lt;text&gt;2018&lt;/text&gt;_x000d__x000a_  &lt;/metadata&gt;_x000d__x000a_  &lt;metadata key=&quot;md_Suffixes&quot;&gt;_x000d__x000a_    &lt;text&gt;ADD 1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CONSOM 102&lt;/text&gt;_x000d__x000a_      &lt;text&gt;MI 247&lt;/text&gt;_x000d__x000a_      &lt;text&gt;ENT 66&lt;/text&gt;_x000d__x000a_      &lt;text&gt;JUSTCIV 86&lt;/text&gt;_x000d__x000a_      &lt;text&gt;DENLEG 29&lt;/text&gt;_x000d__x000a_      &lt;text&gt;CODEC 523&lt;/text&gt;_x000d__x000a_      &lt;text&gt;IA 93&lt;/text&gt;_x000d__x000a_    &lt;/textlist&gt;_x000d__x000a_  &lt;/metadata&gt;_x000d__x000a_  &lt;metadata key=&quot;md_Contact&quot; /&gt;_x000d__x000a_  &lt;metadata key=&quot;md_ContactPhoneFax&quot; /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 /&gt;_x000d__x000a_  &lt;metadata key=&quot;md_MeetingNumber&quot; /&gt;_x000d__x000a_  &lt;metadata key=&quot;md_CouncilConfiguration&quot; /&gt;_x000d__x000a_  &lt;metadata key=&quot;md_CouncilIssue&quot; /&gt;_x000d__x000a_  &lt;metadata key=&quot;md_PhoneNumber&quot; /&gt;_x000d__x000a_  &lt;metadata key=&quot;md_TypeOfHeading&quot;&gt;_x000d__x000a_    &lt;basicdatatype&gt;_x000d__x000a_      &lt;typeofheading key=&quot;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&gt;_x000d__x000a_    &lt;textlist&gt;_x000d__x000a_      &lt;text&gt;2018/0089 (COD)&lt;/text&gt;_x000d__x000a_    &lt;/textlist&gt;_x000d__x000a_  &lt;/metadata&gt;_x000d__x000a_  &lt;metadata key=&quot;md_AdditionalReferences&quot; /&gt;_x000d__x000a_  &lt;metadata key=&quot;md_LEXNumber&quot; /&gt;_x000d__x000a_  &lt;metadata key=&quot;md_SousEmbargo&quot;&gt;_x000d__x000a_    &lt;text&gt;&lt;/text&gt;_x000d__x000a_  &lt;/metadata&gt;_x000d__x000a_  &lt;metadata key=&quot;md_DraftVersion&quot;&gt;_x000d__x000a_    &lt;text&gt;&lt;/text&gt;_x000d__x000a_  &lt;/metadata&gt;_x000d__x000a_  &lt;metadata key=&quot;md_Originator&quot;&gt;_x000d__x000a_    &lt;basicdatatype&gt;_x000d__x000a_      &lt;originator key=&quot;or_01&quot; text=&quot;za generalnega sekretarja Evropske komisije: direktor Jordi AYET PUIGARNAU&quot; /&gt;_x000d__x000a_    &lt;/basicdatatype&gt;_x000d__x000a_  &lt;/metadata&gt;_x000d__x000a_  &lt;metadata key=&quot;md_Recipient&quot;&gt;_x000d__x000a_    &lt;basicdatatype&gt;_x000d__x000a_      &lt;recipient key=&quot;re_02&quot; text=&quot;generalni sekretar Sveta Evropske unije Jeppe TRANHOLM-MIKKELSEN&quot; /&gt;_x000d__x000a_    &lt;/basicdatatype&gt;_x000d__x000a_  &lt;/metadata&gt;_x000d__x000a_  &lt;metadata key=&quot;md_DateOfReceipt&quot;&gt;_x000d__x000a_    &lt;text&gt;2018-04-12&lt;/text&gt;_x000d__x000a_  &lt;/metadata&gt;_x000d__x000a_  &lt;metadata key=&quot;md_FreeDate&quot;&gt;_x000d__x000a_    &lt;textlist /&gt;_x000d__x000a_  &lt;/metadata&gt;_x000d__x000a_  &lt;metadata key=&quot;md_PrecedingDocuments&quot;&gt;_x000d__x000a_    &lt;textlist /&gt;_x000d__x000a_  &lt;/metadata&gt;_x000d__x000a_  &lt;metadata key=&quot;md_CommissionDocuments&quot;&gt;_x000d__x000a_    &lt;textlist&gt;_x000d__x000a_      &lt;text&gt;COM(2018) 184 final ANNEXES 1 to 2&lt;/text&gt;_x000d__x000a_    &lt;/textlist&gt;_x000d__x000a_  &lt;/metadata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DateFormatOr&quot;&gt;_x000d__x000a_    &lt;text&gt;&lt;/text&gt;_x000d__x000a_  &lt;/metadata&gt;_x000d__x000a_  &lt;metadata key=&quot;md_MeetingInformation&quot; /&gt;_x000d__x000a_  &lt;metadata key=&quot;md_Item&quot; /&gt;_x000d__x000a_  &lt;metadata key=&quot;md_Subject&quot;&gt;_x000d__x000a_    &lt;xaml text=&quot;PRILOGI k predlogu DIREKTIVE EVROPSKEGA PARLAMENTA IN SVETA o zastopni&amp;#353;kih to&amp;#382;bah za varstvo kolektivnih interesov potro&amp;#353;nikov in razveljavitvi Direktive 2009/22/ES (Besedilo velja za EGP)&quot;&gt;&amp;lt;FlowDocument FontFamily=&quot;Arial Unicode MS&quot; FontSize=&quot;12&quot; PagePadding=&quot;5,0,5,0&quot; AllowDrop=&quot;False&quot; xmlns=&quot;http://schemas.microsoft.com/winfx/2006/xaml/presentation&quot;&amp;gt;&amp;lt;Paragraph&amp;gt;PRILOGI k predlogu DIREKTIVE EVROPSKEGA PARLAMENTA IN SVETA o zastopni&amp;#353;kih to&amp;#382;bah za varstvo kolektivnih interesov potro&amp;#353;nikov in razveljavitvi Direktive 2009/22/ES (Besedilo velja za EGP)&amp;lt;/Paragraph&amp;gt;&amp;lt;/FlowDocument&amp;gt;&lt;/xaml&gt;_x000d__x000a_  &lt;/metadata&gt;_x000d__x000a_  &lt;metadata key=&quot;md_SubjectFootnote&quot; /&gt;_x000d__x000a_  &lt;metadata key=&quot;md_DG&quot;&gt;_x000d__x000a_    &lt;text&gt;DG G 3A&lt;/text&gt;_x000d__x000a_  &lt;/metadata&gt;_x000d__x000a_  &lt;metadata key=&quot;md_Initials&quot;&gt;_x000d__x000a_    &lt;text&gt;lst&lt;/text&gt;_x000d__x000a_  &lt;/metadata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18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2018&lt;/text&gt;_x000d__x000a_  &lt;/metadata&gt;_x000d__x000a_  &lt;metadata key=&quot;md_Rectif_Source2_Suffixes&quot;&gt;_x000d__x000a_    &lt;text&gt;&lt;/text&gt;_x000d__x000a_  &lt;/metadata&gt;_x000d__x000a_  &lt;metadata key=&quot;md_CoverPageDocWithCouncilFooter&quot;&gt;_x000d__x000a_    &lt;text&gt;false&lt;/text&gt;_x000d__x000a_  &lt;/metadata&gt;_x000d__x000a_  &lt;metadata key=&quot;md_SourceDocLanguage&quot;&gt;_x000d__x000a_    &lt;text&gt;SL&lt;/text&gt;_x000d__x000a_  &lt;/metadata&gt;_x000d__x000a_  &lt;metadata key=&quot;md_SourceDocType&quot;&gt;_x000d__x000a_    &lt;text&gt;PRILOGI&lt;/text&gt;_x000d__x000a_  &lt;/metadata&gt;_x000d__x000a_  &lt;metadata key=&quot;md_SourceDocTitle&quot;&gt;_x000d__x000a_    &lt;text&gt;k _x000d__x000a_predlogu DIREKTIVE EVROPSKEGA PARLAMENTA IN SVETA _x000d__x000a_o zastopni&amp;#353;kih to&amp;#382;bah za varstvo kolektivnih interesov potro&amp;#353;nikov in razveljavitvi Direktive 2009/22/ES_x000d__x000a__x000d__x000a__x000d__x000a_(Besedilo velja za EGP)&lt;/text&gt;_x000d__x000a_  &lt;/metadata&gt;_x000d__x000a_  &lt;metadata key=&quot;md_SourceDocIsCECDoc&quot;&gt;_x000d__x000a_    &lt;text&gt;true&lt;/text&gt;_x000d__x000a_  &lt;/metadata&gt;_x000d__x000a_  &lt;metadata key=&quot;md_NB1&quot; /&gt;_x000d__x000a_  &lt;metadata key=&quot;md_NB2&quot; /&gt;_x000d__x000a_  &lt;metadata key=&quot;md_NB3&quot; /&gt;_x000d__x000a_  &lt;metadata key=&quot;md_Meetings&quot; /&gt;_x000d__x000a_  &lt;metadata key=&quot;md_VisualRepresentation&quot;&gt;_x000d__x000a_    &lt;basicdatatype&gt;_x000d__x000a_      &lt;originator key=&quot;visrep_02&quot; /&gt;_x000d__x000a_    &lt;/basicdatatype&gt;_x000d__x000a_  &lt;/metadata&gt;_x000d__x000a_  &lt;metadata key=&quot;md_LetterData&quot; /&gt;_x000d__x000a_  &lt;metadata key=&quot;md_InstFrSubWordmark&quot;&gt;_x000d__x000a_    &lt;xaml text=&quot;&quot;&gt;&amp;lt;FlowDocument FontFamily=&quot;Arial Unicode MS&quot; FontSize=&quot;12&quot; AllowDrop=&quot;False&quot; xmlns=&quot;http://schemas.microsoft.com/winfx/2006/xaml/presentation&quot; /&amp;gt;&lt;/xaml&gt;_x000d__x000a_  &lt;/metadata&gt;_x000d__x000a_  &lt;metadata key=&quot;md_WorkflowLinkStatus&quot; /&gt;_x000d__x000a_&lt;/metadataset&gt;"/>
    <w:docVar w:name="DQCDateTime" w:val="2018-04-26 12:13:44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0"/>
    <w:docVar w:name="DQCResult_UnknownFonts" w:val="0;0"/>
    <w:docVar w:name="DQCResult_UnknownStyles" w:val="0;0"/>
    <w:docVar w:name="DQCStatus" w:val="Yellow"/>
    <w:docVar w:name="DQCVersion" w:val="3"/>
    <w:docVar w:name="DQCWithWarnings" w:val="1"/>
    <w:docVar w:name="LW_ACCOMPAGNANT" w:val="k"/>
    <w:docVar w:name="LW_ACCOMPAGNANT.CP" w:val="k"/>
    <w:docVar w:name="LW_ANNEX_NBR_FIRST" w:val="1"/>
    <w:docVar w:name="LW_ANNEX_NBR_LAST" w:val="2"/>
    <w:docVar w:name="LW_ANNEX_UNIQUE" w:val="0"/>
    <w:docVar w:name="LW_CORRIGENDUM" w:val="&lt;UNUSED&gt;"/>
    <w:docVar w:name="LW_COVERPAGE_EXISTS" w:val="True"/>
    <w:docVar w:name="LW_COVERPAGE_GUID" w:val="E3E5F257-28C6-40D9-80CA-1D04FD977EBC"/>
    <w:docVar w:name="LW_COVERPAGE_TYPE" w:val="1"/>
    <w:docVar w:name="LW_CROSSREFERENCE" w:val="{SWD(2018) 96 final}_x000d__x000a_{SWD(2018) 98 final}"/>
    <w:docVar w:name="LW_DocType" w:val="ANNEX"/>
    <w:docVar w:name="LW_EMISSION" w:val="11.4.2018"/>
    <w:docVar w:name="LW_EMISSION_ISODATE" w:val="2018-04-11"/>
    <w:docVar w:name="LW_EMISSION_LOCATION" w:val="BRX"/>
    <w:docVar w:name="LW_EMISSION_PREFIX" w:val="Bruselj, "/>
    <w:docVar w:name="LW_EMISSION_SUFFIX" w:val=" "/>
    <w:docVar w:name="LW_ID_DOCSTRUCTURE" w:val="COM/ANNEX"/>
    <w:docVar w:name="LW_ID_DOCTYPE" w:val="SG-017"/>
    <w:docVar w:name="LW_LANGUE" w:val="SL"/>
    <w:docVar w:name="LW_LEVEL_OF_SENSITIVITY" w:val="Standard treatment"/>
    <w:docVar w:name="LW_NOM.INST" w:val="EVROPSKA KOMISIJA"/>
    <w:docVar w:name="LW_NOM.INST_JOINTDOC" w:val="&lt;EMPTY&gt;"/>
    <w:docVar w:name="LW_OBJETACTEPRINCIPAL" w:val="o zastopni\u353?kih to\u382?bah za varstvo kolektivnih interesov potro\u353?nikov in razveljavitvi Direktive 2009/22/ES_x000b__x000b__x000b_(Besedilo velja za EGP)"/>
    <w:docVar w:name="LW_OBJETACTEPRINCIPAL.CP" w:val="o zastopni\u353?kih to\u382?bah za varstvo kolektivnih interesov potro\u353?nikov in razveljavitvi Direktive 2009/22/ES_x000b__x000b__x000b_(Besedilo velja za EGP)"/>
    <w:docVar w:name="LW_PART_NBR" w:val="&lt;UNUSED&gt;"/>
    <w:docVar w:name="LW_PART_NBR_TOTAL" w:val="&lt;UNUSED&gt;"/>
    <w:docVar w:name="LW_REF.INST.NEW" w:val="COM"/>
    <w:docVar w:name="LW_REF.INST.NEW_ADOPTED" w:val="final"/>
    <w:docVar w:name="LW_REF.INST.NEW_TEXT" w:val="(2018) 184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UPERTITRE" w:val="&lt;UNUSED&gt;"/>
    <w:docVar w:name="LW_TYPE.DOC" w:val="PRILOGI"/>
    <w:docVar w:name="LW_TYPE.DOC.CP" w:val="PRILOGI"/>
    <w:docVar w:name="LW_TYPEACTEPRINCIPAL" w:val="predlogu DIREKTIVE EVROPSKEGA PARLAMENTA IN SVETA"/>
    <w:docVar w:name="LW_TYPEACTEPRINCIPAL.CP" w:val="predlogu DIREKTIVE EVROPSKEGA PARLAMENTA IN SVETA"/>
  </w:docVars>
  <w:rsids>
    <w:rsidRoot w:val="00083405"/>
    <w:rsid w:val="00083405"/>
    <w:rsid w:val="0019246D"/>
    <w:rsid w:val="005A25C5"/>
    <w:rsid w:val="005B7769"/>
    <w:rsid w:val="00A91B5E"/>
    <w:rsid w:val="00AE48C6"/>
    <w:rsid w:val="00B0591A"/>
    <w:rsid w:val="00FC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sl-S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Naslov1">
    <w:name w:val="heading 1"/>
    <w:basedOn w:val="Navaden"/>
    <w:next w:val="Text1"/>
    <w:link w:val="Naslov1Znak"/>
    <w:uiPriority w:val="9"/>
    <w:qFormat/>
    <w:pPr>
      <w:keepNext/>
      <w:numPr>
        <w:numId w:val="30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Naslov2">
    <w:name w:val="heading 2"/>
    <w:basedOn w:val="Navaden"/>
    <w:next w:val="Text1"/>
    <w:link w:val="Naslov2Znak"/>
    <w:uiPriority w:val="9"/>
    <w:semiHidden/>
    <w:unhideWhenUsed/>
    <w:qFormat/>
    <w:pPr>
      <w:keepNext/>
      <w:numPr>
        <w:ilvl w:val="1"/>
        <w:numId w:val="30"/>
      </w:numPr>
      <w:outlineLvl w:val="1"/>
    </w:pPr>
    <w:rPr>
      <w:rFonts w:eastAsiaTheme="majorEastAsia"/>
      <w:b/>
      <w:bCs/>
      <w:szCs w:val="26"/>
    </w:rPr>
  </w:style>
  <w:style w:type="paragraph" w:styleId="Naslov3">
    <w:name w:val="heading 3"/>
    <w:basedOn w:val="Navaden"/>
    <w:next w:val="Text1"/>
    <w:link w:val="Naslov3Znak"/>
    <w:uiPriority w:val="9"/>
    <w:semiHidden/>
    <w:unhideWhenUsed/>
    <w:qFormat/>
    <w:pPr>
      <w:keepNext/>
      <w:numPr>
        <w:ilvl w:val="2"/>
        <w:numId w:val="30"/>
      </w:numPr>
      <w:outlineLvl w:val="2"/>
    </w:pPr>
    <w:rPr>
      <w:rFonts w:eastAsiaTheme="majorEastAsia"/>
      <w:bCs/>
      <w:i/>
    </w:rPr>
  </w:style>
  <w:style w:type="paragraph" w:styleId="Naslov4">
    <w:name w:val="heading 4"/>
    <w:basedOn w:val="Navaden"/>
    <w:next w:val="Text1"/>
    <w:link w:val="Naslov4Znak"/>
    <w:uiPriority w:val="9"/>
    <w:semiHidden/>
    <w:unhideWhenUsed/>
    <w:qFormat/>
    <w:pPr>
      <w:keepNext/>
      <w:numPr>
        <w:ilvl w:val="3"/>
        <w:numId w:val="30"/>
      </w:numPr>
      <w:outlineLvl w:val="3"/>
    </w:pPr>
    <w:rPr>
      <w:rFonts w:eastAsiaTheme="majorEastAsia"/>
      <w:bCs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aliases w:val="Bullet List Paragraph,List Paragraph1,Lettre d'introduction,Numbered paragraph 1,Paragrafo elenco,1st level - Bullet List Paragraph,Medium Grid 1 - Accent 21,Normal bullet 2,Numbered List,Elenco a colori - Colore 11,Fiche List Paragraph"/>
    <w:basedOn w:val="Navaden"/>
    <w:link w:val="OdstavekseznamaZnak"/>
    <w:uiPriority w:val="34"/>
    <w:qFormat/>
    <w:pPr>
      <w:spacing w:before="0" w:after="0"/>
      <w:ind w:left="720"/>
      <w:contextualSpacing/>
      <w:jc w:val="left"/>
    </w:pPr>
    <w:rPr>
      <w:rFonts w:asciiTheme="minorHAnsi" w:hAnsiTheme="minorHAnsi" w:cstheme="minorBidi"/>
      <w:sz w:val="22"/>
    </w:rPr>
  </w:style>
  <w:style w:type="character" w:customStyle="1" w:styleId="OdstavekseznamaZnak">
    <w:name w:val="Odstavek seznama Znak"/>
    <w:aliases w:val="Bullet List Paragraph Znak,List Paragraph1 Znak,Lettre d'introduction Znak,Numbered paragraph 1 Znak,Paragrafo elenco Znak,1st level - Bullet List Paragraph Znak,Medium Grid 1 - Accent 21 Znak,Normal bullet 2 Znak"/>
    <w:basedOn w:val="Privzetapisavaodstavka"/>
    <w:link w:val="Odstavekseznama"/>
    <w:uiPriority w:val="34"/>
    <w:qFormat/>
    <w:rPr>
      <w:lang w:val="sl-SI"/>
    </w:rPr>
  </w:style>
  <w:style w:type="table" w:styleId="Tabelamrea">
    <w:name w:val="Table Grid"/>
    <w:basedOn w:val="Navadnatabela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znaenseznam">
    <w:name w:val="List Bullet"/>
    <w:basedOn w:val="Navaden"/>
    <w:uiPriority w:val="99"/>
    <w:semiHidden/>
    <w:unhideWhenUsed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semiHidden/>
    <w:unhideWhenUsed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semiHidden/>
    <w:unhideWhenUsed/>
    <w:pPr>
      <w:numPr>
        <w:numId w:val="3"/>
      </w:numPr>
      <w:contextualSpacing/>
    </w:pPr>
  </w:style>
  <w:style w:type="paragraph" w:styleId="Oznaenseznam4">
    <w:name w:val="List Bullet 4"/>
    <w:basedOn w:val="Navaden"/>
    <w:uiPriority w:val="99"/>
    <w:semiHidden/>
    <w:unhideWhenUsed/>
    <w:pPr>
      <w:numPr>
        <w:numId w:val="4"/>
      </w:numPr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Pr>
      <w:rFonts w:ascii="Tahoma" w:hAnsi="Tahoma" w:cs="Tahoma"/>
      <w:sz w:val="16"/>
      <w:szCs w:val="16"/>
      <w:lang w:val="sl-SI"/>
    </w:rPr>
  </w:style>
  <w:style w:type="paragraph" w:styleId="Napis">
    <w:name w:val="caption"/>
    <w:basedOn w:val="Navaden"/>
    <w:next w:val="Navaden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Kazaloslik">
    <w:name w:val="table of figures"/>
    <w:basedOn w:val="Navaden"/>
    <w:next w:val="Navaden"/>
    <w:uiPriority w:val="99"/>
    <w:semiHidden/>
    <w:unhideWhenUsed/>
    <w:pPr>
      <w:spacing w:after="0"/>
    </w:pPr>
  </w:style>
  <w:style w:type="paragraph" w:styleId="Otevilenseznam">
    <w:name w:val="List Number"/>
    <w:basedOn w:val="Navaden"/>
    <w:uiPriority w:val="99"/>
    <w:semiHidden/>
    <w:unhideWhenUsed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semiHidden/>
    <w:unhideWhenUsed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semiHidden/>
    <w:unhideWhenUsed/>
    <w:pPr>
      <w:numPr>
        <w:numId w:val="7"/>
      </w:numPr>
      <w:contextualSpacing/>
    </w:pPr>
  </w:style>
  <w:style w:type="paragraph" w:styleId="Otevilenseznam4">
    <w:name w:val="List Number 4"/>
    <w:basedOn w:val="Navaden"/>
    <w:uiPriority w:val="99"/>
    <w:semiHidden/>
    <w:unhideWhenUsed/>
    <w:pPr>
      <w:numPr>
        <w:numId w:val="8"/>
      </w:numPr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rFonts w:ascii="Times New Roman" w:hAnsi="Times New Roman" w:cs="Times New Roman"/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Pr>
      <w:rFonts w:ascii="Times New Roman" w:hAnsi="Times New Roman" w:cs="Times New Roman"/>
      <w:b/>
      <w:bCs/>
      <w:sz w:val="20"/>
      <w:szCs w:val="20"/>
      <w:lang w:val="sl-SI"/>
    </w:rPr>
  </w:style>
  <w:style w:type="paragraph" w:styleId="Revizija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Hiperpovezava">
    <w:name w:val="Hyperlink"/>
    <w:basedOn w:val="Privzetapisavaodstavka"/>
    <w:uiPriority w:val="99"/>
    <w:unhideWhenUsed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19246D"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GlavaZnak">
    <w:name w:val="Glava Znak"/>
    <w:basedOn w:val="Privzetapisavaodstavka"/>
    <w:link w:val="Glava"/>
    <w:uiPriority w:val="99"/>
    <w:rsid w:val="0019246D"/>
    <w:rPr>
      <w:rFonts w:ascii="Times New Roman" w:hAnsi="Times New Roman" w:cs="Times New Roman"/>
      <w:sz w:val="24"/>
      <w:lang w:eastAsia="en-US" w:bidi="ar-SA"/>
    </w:rPr>
  </w:style>
  <w:style w:type="paragraph" w:styleId="Noga">
    <w:name w:val="footer"/>
    <w:basedOn w:val="Navaden"/>
    <w:link w:val="NogaZnak"/>
    <w:uiPriority w:val="99"/>
    <w:unhideWhenUsed/>
    <w:rsid w:val="001924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eastAsia="en-US" w:bidi="ar-SA"/>
    </w:rPr>
  </w:style>
  <w:style w:type="character" w:customStyle="1" w:styleId="NogaZnak">
    <w:name w:val="Noga Znak"/>
    <w:basedOn w:val="Privzetapisavaodstavka"/>
    <w:link w:val="Noga"/>
    <w:uiPriority w:val="99"/>
    <w:rsid w:val="0019246D"/>
    <w:rPr>
      <w:rFonts w:ascii="Times New Roman" w:hAnsi="Times New Roman" w:cs="Times New Roman"/>
      <w:sz w:val="24"/>
      <w:lang w:eastAsia="en-US" w:bidi="ar-SA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Znak">
    <w:name w:val="Naslov 1 Znak"/>
    <w:basedOn w:val="Privzetapisavaodstavka"/>
    <w:link w:val="Naslov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Naslov2Znak">
    <w:name w:val="Naslov 2 Znak"/>
    <w:basedOn w:val="Privzetapisavaodstavka"/>
    <w:link w:val="Naslov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Naslov3Znak">
    <w:name w:val="Naslov 3 Znak"/>
    <w:basedOn w:val="Privzetapisavaodstavka"/>
    <w:link w:val="Naslov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Naslov4Znak">
    <w:name w:val="Naslov 4 Znak"/>
    <w:basedOn w:val="Privzetapisavaodstavka"/>
    <w:link w:val="Naslov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NaslovTOC">
    <w:name w:val="TOC Heading"/>
    <w:basedOn w:val="Navaden"/>
    <w:next w:val="Navaden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Kazalovsebine1">
    <w:name w:val="toc 1"/>
    <w:basedOn w:val="Navaden"/>
    <w:next w:val="Navaden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Kazalovsebine2">
    <w:name w:val="toc 2"/>
    <w:basedOn w:val="Navaden"/>
    <w:next w:val="Navaden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Kazalovsebine3">
    <w:name w:val="toc 3"/>
    <w:basedOn w:val="Navaden"/>
    <w:next w:val="Navaden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Kazalovsebine4">
    <w:name w:val="toc 4"/>
    <w:basedOn w:val="Navaden"/>
    <w:next w:val="Navaden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Kazalovsebine5">
    <w:name w:val="toc 5"/>
    <w:basedOn w:val="Navaden"/>
    <w:next w:val="Navaden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Kazalovsebine6">
    <w:name w:val="toc 6"/>
    <w:basedOn w:val="Navaden"/>
    <w:next w:val="Navaden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Kazalovsebine7">
    <w:name w:val="toc 7"/>
    <w:basedOn w:val="Navaden"/>
    <w:next w:val="Navaden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Kazalovsebine8">
    <w:name w:val="toc 8"/>
    <w:basedOn w:val="Navaden"/>
    <w:next w:val="Navaden"/>
    <w:uiPriority w:val="39"/>
    <w:semiHidden/>
    <w:unhideWhenUsed/>
    <w:pPr>
      <w:tabs>
        <w:tab w:val="right" w:leader="dot" w:pos="9071"/>
      </w:tabs>
      <w:jc w:val="left"/>
    </w:pPr>
  </w:style>
  <w:style w:type="paragraph" w:styleId="Kazalovsebine9">
    <w:name w:val="toc 9"/>
    <w:basedOn w:val="Navaden"/>
    <w:next w:val="Navaden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avaden"/>
    <w:rsid w:val="0019246D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avaden"/>
    <w:rsid w:val="0019246D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  <w:rPr>
      <w:lang w:eastAsia="en-US" w:bidi="ar-SA"/>
    </w:rPr>
  </w:style>
  <w:style w:type="character" w:styleId="Sprotnaopomba-sklic">
    <w:name w:val="footnote reference"/>
    <w:basedOn w:val="Privzetapisavaodstavka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avaden"/>
    <w:rsid w:val="0019246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  <w:lang w:eastAsia="en-US" w:bidi="ar-SA"/>
    </w:rPr>
  </w:style>
  <w:style w:type="paragraph" w:customStyle="1" w:styleId="FooterSensitivity">
    <w:name w:val="Footer Sensitivity"/>
    <w:basedOn w:val="Navaden"/>
    <w:rsid w:val="0019246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  <w:lang w:eastAsia="en-US" w:bidi="ar-SA"/>
    </w:rPr>
  </w:style>
  <w:style w:type="paragraph" w:customStyle="1" w:styleId="Text1">
    <w:name w:val="Text 1"/>
    <w:basedOn w:val="Navaden"/>
    <w:pPr>
      <w:ind w:left="850"/>
    </w:pPr>
  </w:style>
  <w:style w:type="paragraph" w:customStyle="1" w:styleId="Text2">
    <w:name w:val="Text 2"/>
    <w:basedOn w:val="Navaden"/>
    <w:pPr>
      <w:ind w:left="1417"/>
    </w:pPr>
  </w:style>
  <w:style w:type="paragraph" w:customStyle="1" w:styleId="Text3">
    <w:name w:val="Text 3"/>
    <w:basedOn w:val="Navaden"/>
    <w:pPr>
      <w:ind w:left="1984"/>
    </w:pPr>
  </w:style>
  <w:style w:type="paragraph" w:customStyle="1" w:styleId="Text4">
    <w:name w:val="Text 4"/>
    <w:basedOn w:val="Navaden"/>
    <w:pPr>
      <w:ind w:left="2551"/>
    </w:pPr>
  </w:style>
  <w:style w:type="paragraph" w:customStyle="1" w:styleId="NormalCentered">
    <w:name w:val="Normal Centered"/>
    <w:basedOn w:val="Navaden"/>
    <w:pPr>
      <w:jc w:val="center"/>
    </w:pPr>
  </w:style>
  <w:style w:type="paragraph" w:customStyle="1" w:styleId="NormalLeft">
    <w:name w:val="Normal Left"/>
    <w:basedOn w:val="Navaden"/>
    <w:pPr>
      <w:jc w:val="left"/>
    </w:pPr>
  </w:style>
  <w:style w:type="paragraph" w:customStyle="1" w:styleId="NormalRight">
    <w:name w:val="Normal Right"/>
    <w:basedOn w:val="Navaden"/>
    <w:pPr>
      <w:jc w:val="right"/>
    </w:pPr>
  </w:style>
  <w:style w:type="paragraph" w:customStyle="1" w:styleId="QuotedText">
    <w:name w:val="Quoted Text"/>
    <w:basedOn w:val="Navaden"/>
    <w:pPr>
      <w:ind w:left="1417"/>
    </w:pPr>
  </w:style>
  <w:style w:type="paragraph" w:customStyle="1" w:styleId="Point0">
    <w:name w:val="Point 0"/>
    <w:basedOn w:val="Navaden"/>
    <w:pPr>
      <w:ind w:left="850" w:hanging="850"/>
    </w:pPr>
  </w:style>
  <w:style w:type="paragraph" w:customStyle="1" w:styleId="Point1">
    <w:name w:val="Point 1"/>
    <w:basedOn w:val="Navaden"/>
    <w:pPr>
      <w:ind w:left="1417" w:hanging="567"/>
    </w:pPr>
  </w:style>
  <w:style w:type="paragraph" w:customStyle="1" w:styleId="Point2">
    <w:name w:val="Point 2"/>
    <w:basedOn w:val="Navaden"/>
    <w:pPr>
      <w:ind w:left="1984" w:hanging="567"/>
    </w:pPr>
  </w:style>
  <w:style w:type="paragraph" w:customStyle="1" w:styleId="Point3">
    <w:name w:val="Point 3"/>
    <w:basedOn w:val="Navaden"/>
    <w:pPr>
      <w:ind w:left="2551" w:hanging="567"/>
    </w:pPr>
  </w:style>
  <w:style w:type="paragraph" w:customStyle="1" w:styleId="Point4">
    <w:name w:val="Point 4"/>
    <w:basedOn w:val="Navaden"/>
    <w:pPr>
      <w:ind w:left="3118" w:hanging="567"/>
    </w:pPr>
  </w:style>
  <w:style w:type="paragraph" w:customStyle="1" w:styleId="Tiret0">
    <w:name w:val="Tiret 0"/>
    <w:basedOn w:val="Point0"/>
    <w:pPr>
      <w:numPr>
        <w:numId w:val="24"/>
      </w:numPr>
    </w:pPr>
  </w:style>
  <w:style w:type="paragraph" w:customStyle="1" w:styleId="Tiret1">
    <w:name w:val="Tiret 1"/>
    <w:basedOn w:val="Point1"/>
    <w:pPr>
      <w:numPr>
        <w:numId w:val="25"/>
      </w:numPr>
    </w:pPr>
  </w:style>
  <w:style w:type="paragraph" w:customStyle="1" w:styleId="Tiret2">
    <w:name w:val="Tiret 2"/>
    <w:basedOn w:val="Point2"/>
    <w:pPr>
      <w:numPr>
        <w:numId w:val="26"/>
      </w:numPr>
    </w:pPr>
  </w:style>
  <w:style w:type="paragraph" w:customStyle="1" w:styleId="Tiret3">
    <w:name w:val="Tiret 3"/>
    <w:basedOn w:val="Point3"/>
    <w:pPr>
      <w:numPr>
        <w:numId w:val="27"/>
      </w:numPr>
    </w:pPr>
  </w:style>
  <w:style w:type="paragraph" w:customStyle="1" w:styleId="Tiret4">
    <w:name w:val="Tiret 4"/>
    <w:basedOn w:val="Point4"/>
    <w:pPr>
      <w:numPr>
        <w:numId w:val="28"/>
      </w:numPr>
    </w:pPr>
  </w:style>
  <w:style w:type="paragraph" w:customStyle="1" w:styleId="PointDouble0">
    <w:name w:val="PointDouble 0"/>
    <w:basedOn w:val="Navaden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avaden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avaden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avaden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avaden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avaden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avaden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avaden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avaden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avaden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avaden"/>
    <w:next w:val="Text1"/>
    <w:pPr>
      <w:numPr>
        <w:numId w:val="29"/>
      </w:numPr>
    </w:pPr>
  </w:style>
  <w:style w:type="paragraph" w:customStyle="1" w:styleId="NumPar2">
    <w:name w:val="NumPar 2"/>
    <w:basedOn w:val="Navaden"/>
    <w:next w:val="Text1"/>
    <w:pPr>
      <w:numPr>
        <w:ilvl w:val="1"/>
        <w:numId w:val="29"/>
      </w:numPr>
    </w:pPr>
  </w:style>
  <w:style w:type="paragraph" w:customStyle="1" w:styleId="NumPar3">
    <w:name w:val="NumPar 3"/>
    <w:basedOn w:val="Navaden"/>
    <w:next w:val="Text1"/>
    <w:pPr>
      <w:numPr>
        <w:ilvl w:val="2"/>
        <w:numId w:val="29"/>
      </w:numPr>
    </w:pPr>
  </w:style>
  <w:style w:type="paragraph" w:customStyle="1" w:styleId="NumPar4">
    <w:name w:val="NumPar 4"/>
    <w:basedOn w:val="Navaden"/>
    <w:next w:val="Text1"/>
    <w:pPr>
      <w:numPr>
        <w:ilvl w:val="3"/>
        <w:numId w:val="29"/>
      </w:numPr>
    </w:pPr>
  </w:style>
  <w:style w:type="paragraph" w:customStyle="1" w:styleId="ManualNumPar1">
    <w:name w:val="Manual NumPar 1"/>
    <w:basedOn w:val="Navaden"/>
    <w:next w:val="Text1"/>
    <w:pPr>
      <w:ind w:left="850" w:hanging="850"/>
    </w:pPr>
  </w:style>
  <w:style w:type="paragraph" w:customStyle="1" w:styleId="ManualNumPar2">
    <w:name w:val="Manual NumPar 2"/>
    <w:basedOn w:val="Navaden"/>
    <w:next w:val="Text1"/>
    <w:pPr>
      <w:ind w:left="850" w:hanging="850"/>
    </w:pPr>
  </w:style>
  <w:style w:type="paragraph" w:customStyle="1" w:styleId="ManualNumPar3">
    <w:name w:val="Manual NumPar 3"/>
    <w:basedOn w:val="Navaden"/>
    <w:next w:val="Text1"/>
    <w:pPr>
      <w:ind w:left="850" w:hanging="850"/>
    </w:pPr>
  </w:style>
  <w:style w:type="paragraph" w:customStyle="1" w:styleId="ManualNumPar4">
    <w:name w:val="Manual NumPar 4"/>
    <w:basedOn w:val="Navaden"/>
    <w:next w:val="Text1"/>
    <w:pPr>
      <w:ind w:left="850" w:hanging="850"/>
    </w:pPr>
  </w:style>
  <w:style w:type="paragraph" w:customStyle="1" w:styleId="QuotedNumPar">
    <w:name w:val="Quoted NumPar"/>
    <w:basedOn w:val="Navaden"/>
    <w:pPr>
      <w:ind w:left="1417" w:hanging="567"/>
    </w:pPr>
  </w:style>
  <w:style w:type="paragraph" w:customStyle="1" w:styleId="ManualHeading1">
    <w:name w:val="Manual Heading 1"/>
    <w:basedOn w:val="Navaden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avaden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avaden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avaden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avaden"/>
    <w:next w:val="Navaden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avaden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avaden"/>
    <w:next w:val="Naslov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avaden"/>
    <w:next w:val="Navaden"/>
    <w:pPr>
      <w:jc w:val="center"/>
    </w:pPr>
    <w:rPr>
      <w:b/>
    </w:rPr>
  </w:style>
  <w:style w:type="character" w:customStyle="1" w:styleId="Marker">
    <w:name w:val="Marker"/>
    <w:basedOn w:val="Privzetapisavaodstavka"/>
    <w:rsid w:val="00A91B5E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Privzetapisavaodstavka"/>
    <w:rPr>
      <w:color w:val="008000"/>
      <w:shd w:val="clear" w:color="auto" w:fill="auto"/>
    </w:rPr>
  </w:style>
  <w:style w:type="character" w:customStyle="1" w:styleId="Marker2">
    <w:name w:val="Marker2"/>
    <w:basedOn w:val="Privzetapisavaodstavka"/>
    <w:rPr>
      <w:color w:val="FF0000"/>
      <w:shd w:val="clear" w:color="auto" w:fill="auto"/>
    </w:rPr>
  </w:style>
  <w:style w:type="paragraph" w:customStyle="1" w:styleId="Point0number">
    <w:name w:val="Point 0 (number)"/>
    <w:basedOn w:val="Navaden"/>
    <w:pPr>
      <w:numPr>
        <w:numId w:val="31"/>
      </w:numPr>
    </w:pPr>
  </w:style>
  <w:style w:type="paragraph" w:customStyle="1" w:styleId="Point1number">
    <w:name w:val="Point 1 (number)"/>
    <w:basedOn w:val="Navaden"/>
    <w:pPr>
      <w:numPr>
        <w:ilvl w:val="2"/>
        <w:numId w:val="31"/>
      </w:numPr>
    </w:pPr>
  </w:style>
  <w:style w:type="paragraph" w:customStyle="1" w:styleId="Point2number">
    <w:name w:val="Point 2 (number)"/>
    <w:basedOn w:val="Navaden"/>
    <w:pPr>
      <w:numPr>
        <w:ilvl w:val="4"/>
        <w:numId w:val="31"/>
      </w:numPr>
    </w:pPr>
  </w:style>
  <w:style w:type="paragraph" w:customStyle="1" w:styleId="Point3number">
    <w:name w:val="Point 3 (number)"/>
    <w:basedOn w:val="Navaden"/>
    <w:pPr>
      <w:numPr>
        <w:ilvl w:val="6"/>
        <w:numId w:val="31"/>
      </w:numPr>
    </w:pPr>
  </w:style>
  <w:style w:type="paragraph" w:customStyle="1" w:styleId="Point0letter">
    <w:name w:val="Point 0 (letter)"/>
    <w:basedOn w:val="Navaden"/>
    <w:pPr>
      <w:numPr>
        <w:ilvl w:val="1"/>
        <w:numId w:val="31"/>
      </w:numPr>
    </w:pPr>
  </w:style>
  <w:style w:type="paragraph" w:customStyle="1" w:styleId="Point1letter">
    <w:name w:val="Point 1 (letter)"/>
    <w:basedOn w:val="Navaden"/>
    <w:pPr>
      <w:numPr>
        <w:ilvl w:val="3"/>
        <w:numId w:val="31"/>
      </w:numPr>
    </w:pPr>
  </w:style>
  <w:style w:type="paragraph" w:customStyle="1" w:styleId="Point2letter">
    <w:name w:val="Point 2 (letter)"/>
    <w:basedOn w:val="Navaden"/>
    <w:pPr>
      <w:numPr>
        <w:ilvl w:val="5"/>
        <w:numId w:val="31"/>
      </w:numPr>
    </w:pPr>
  </w:style>
  <w:style w:type="paragraph" w:customStyle="1" w:styleId="Point3letter">
    <w:name w:val="Point 3 (letter)"/>
    <w:basedOn w:val="Navaden"/>
    <w:pPr>
      <w:numPr>
        <w:ilvl w:val="7"/>
        <w:numId w:val="31"/>
      </w:numPr>
    </w:pPr>
  </w:style>
  <w:style w:type="paragraph" w:customStyle="1" w:styleId="Point4letter">
    <w:name w:val="Point 4 (letter)"/>
    <w:basedOn w:val="Navaden"/>
    <w:pPr>
      <w:numPr>
        <w:ilvl w:val="8"/>
        <w:numId w:val="31"/>
      </w:numPr>
    </w:pPr>
  </w:style>
  <w:style w:type="paragraph" w:customStyle="1" w:styleId="Bullet0">
    <w:name w:val="Bullet 0"/>
    <w:basedOn w:val="Navaden"/>
    <w:pPr>
      <w:numPr>
        <w:numId w:val="32"/>
      </w:numPr>
    </w:pPr>
  </w:style>
  <w:style w:type="paragraph" w:customStyle="1" w:styleId="Bullet1">
    <w:name w:val="Bullet 1"/>
    <w:basedOn w:val="Navaden"/>
    <w:pPr>
      <w:numPr>
        <w:numId w:val="33"/>
      </w:numPr>
    </w:pPr>
  </w:style>
  <w:style w:type="paragraph" w:customStyle="1" w:styleId="Bullet2">
    <w:name w:val="Bullet 2"/>
    <w:basedOn w:val="Navaden"/>
    <w:pPr>
      <w:numPr>
        <w:numId w:val="34"/>
      </w:numPr>
    </w:pPr>
  </w:style>
  <w:style w:type="paragraph" w:customStyle="1" w:styleId="Bullet3">
    <w:name w:val="Bullet 3"/>
    <w:basedOn w:val="Navaden"/>
    <w:pPr>
      <w:numPr>
        <w:numId w:val="35"/>
      </w:numPr>
    </w:pPr>
  </w:style>
  <w:style w:type="paragraph" w:customStyle="1" w:styleId="Bullet4">
    <w:name w:val="Bullet 4"/>
    <w:basedOn w:val="Navaden"/>
    <w:pPr>
      <w:numPr>
        <w:numId w:val="36"/>
      </w:numPr>
    </w:pPr>
  </w:style>
  <w:style w:type="paragraph" w:customStyle="1" w:styleId="Langue">
    <w:name w:val="Langue"/>
    <w:basedOn w:val="Navaden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avaden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avaden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avaden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avaden"/>
    <w:next w:val="Navaden"/>
    <w:link w:val="PagedecouvertureChar"/>
    <w:pPr>
      <w:spacing w:before="0" w:after="0"/>
    </w:pPr>
  </w:style>
  <w:style w:type="paragraph" w:customStyle="1" w:styleId="Declassification">
    <w:name w:val="Declassification"/>
    <w:basedOn w:val="Navaden"/>
    <w:next w:val="Navaden"/>
    <w:pPr>
      <w:spacing w:before="0" w:after="0"/>
    </w:pPr>
  </w:style>
  <w:style w:type="paragraph" w:customStyle="1" w:styleId="Disclaimer">
    <w:name w:val="Disclaimer"/>
    <w:basedOn w:val="Navaden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avaden"/>
    <w:next w:val="Navaden"/>
    <w:pPr>
      <w:jc w:val="center"/>
    </w:pPr>
    <w:rPr>
      <w:b/>
      <w:u w:val="single"/>
    </w:rPr>
  </w:style>
  <w:style w:type="paragraph" w:customStyle="1" w:styleId="Annexetitre">
    <w:name w:val="Annexe titre"/>
    <w:basedOn w:val="Navaden"/>
    <w:next w:val="Navaden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avaden"/>
    <w:next w:val="Navaden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avaden"/>
    <w:next w:val="Fait"/>
    <w:pPr>
      <w:spacing w:before="480"/>
    </w:pPr>
  </w:style>
  <w:style w:type="paragraph" w:customStyle="1" w:styleId="Avertissementtitre">
    <w:name w:val="Avertissement titre"/>
    <w:basedOn w:val="Navaden"/>
    <w:next w:val="Navaden"/>
    <w:pPr>
      <w:keepNext/>
      <w:spacing w:before="480"/>
    </w:pPr>
    <w:rPr>
      <w:u w:val="single"/>
    </w:rPr>
  </w:style>
  <w:style w:type="paragraph" w:customStyle="1" w:styleId="Confidence">
    <w:name w:val="Confidence"/>
    <w:basedOn w:val="Navaden"/>
    <w:next w:val="Navaden"/>
    <w:pPr>
      <w:spacing w:before="360"/>
      <w:jc w:val="center"/>
    </w:pPr>
  </w:style>
  <w:style w:type="paragraph" w:customStyle="1" w:styleId="Confidentialit">
    <w:name w:val="Confidentialité"/>
    <w:basedOn w:val="Navaden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avaden"/>
    <w:pPr>
      <w:numPr>
        <w:numId w:val="37"/>
      </w:numPr>
    </w:pPr>
  </w:style>
  <w:style w:type="paragraph" w:customStyle="1" w:styleId="Corrigendum">
    <w:name w:val="Corrigendum"/>
    <w:basedOn w:val="Navaden"/>
    <w:next w:val="Navaden"/>
    <w:pPr>
      <w:spacing w:before="0" w:after="240"/>
      <w:jc w:val="left"/>
    </w:pPr>
  </w:style>
  <w:style w:type="paragraph" w:customStyle="1" w:styleId="Datedadoption">
    <w:name w:val="Date d'adoption"/>
    <w:basedOn w:val="Navaden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avaden"/>
    <w:next w:val="Navaden"/>
    <w:pPr>
      <w:jc w:val="center"/>
    </w:pPr>
    <w:rPr>
      <w:b/>
      <w:u w:val="single"/>
    </w:rPr>
  </w:style>
  <w:style w:type="paragraph" w:customStyle="1" w:styleId="Fait">
    <w:name w:val="Fait à"/>
    <w:basedOn w:val="Navaden"/>
    <w:next w:val="Institutionquisigne"/>
    <w:pPr>
      <w:keepNext/>
      <w:spacing w:after="0"/>
    </w:pPr>
  </w:style>
  <w:style w:type="paragraph" w:customStyle="1" w:styleId="Formuledadoption">
    <w:name w:val="Formule d'adoption"/>
    <w:basedOn w:val="Navaden"/>
    <w:next w:val="Titrearticle"/>
    <w:pPr>
      <w:keepNext/>
    </w:pPr>
  </w:style>
  <w:style w:type="paragraph" w:customStyle="1" w:styleId="Institutionquiagit">
    <w:name w:val="Institution qui agit"/>
    <w:basedOn w:val="Navaden"/>
    <w:next w:val="Navaden"/>
    <w:pPr>
      <w:keepNext/>
      <w:spacing w:before="600"/>
    </w:pPr>
  </w:style>
  <w:style w:type="paragraph" w:customStyle="1" w:styleId="Institutionquisigne">
    <w:name w:val="Institution qui signe"/>
    <w:basedOn w:val="Navaden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avaden"/>
    <w:pPr>
      <w:ind w:left="709" w:hanging="709"/>
    </w:pPr>
  </w:style>
  <w:style w:type="paragraph" w:customStyle="1" w:styleId="Personnequisigne">
    <w:name w:val="Personne qui signe"/>
    <w:basedOn w:val="Navaden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avaden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avaden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avaden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avaden"/>
    <w:next w:val="Navaden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avaden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Privzetapisavaodstavka"/>
    <w:rPr>
      <w:b/>
      <w:u w:val="single"/>
      <w:shd w:val="clear" w:color="auto" w:fill="auto"/>
    </w:rPr>
  </w:style>
  <w:style w:type="character" w:customStyle="1" w:styleId="Deleted">
    <w:name w:val="Deleted"/>
    <w:basedOn w:val="Privzetapisavaodstavka"/>
    <w:rPr>
      <w:strike/>
      <w:dstrike w:val="0"/>
      <w:shd w:val="clear" w:color="auto" w:fill="auto"/>
    </w:rPr>
  </w:style>
  <w:style w:type="paragraph" w:customStyle="1" w:styleId="Address">
    <w:name w:val="Address"/>
    <w:basedOn w:val="Navaden"/>
    <w:next w:val="Navaden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avaden"/>
    <w:next w:val="Navaden"/>
    <w:rPr>
      <w:i/>
      <w:caps/>
    </w:rPr>
  </w:style>
  <w:style w:type="paragraph" w:customStyle="1" w:styleId="Supertitre">
    <w:name w:val="Supertitre"/>
    <w:basedOn w:val="Navaden"/>
    <w:next w:val="Navaden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avaden"/>
    <w:next w:val="Navaden"/>
    <w:pPr>
      <w:spacing w:before="360" w:after="0"/>
      <w:jc w:val="center"/>
    </w:pPr>
  </w:style>
  <w:style w:type="paragraph" w:customStyle="1" w:styleId="Rfrencecroise">
    <w:name w:val="Référence croisée"/>
    <w:basedOn w:val="Navaden"/>
    <w:pPr>
      <w:spacing w:before="0" w:after="0"/>
      <w:jc w:val="center"/>
    </w:pPr>
  </w:style>
  <w:style w:type="paragraph" w:customStyle="1" w:styleId="Fichefinanciretitre">
    <w:name w:val="Fiche financière titre"/>
    <w:basedOn w:val="Navaden"/>
    <w:next w:val="Navaden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avaden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avaden"/>
    <w:pPr>
      <w:spacing w:after="240"/>
    </w:pPr>
  </w:style>
  <w:style w:type="paragraph" w:customStyle="1" w:styleId="Accompagnant">
    <w:name w:val="Accompagnant"/>
    <w:basedOn w:val="Navaden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avaden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avaden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avaden"/>
    <w:next w:val="Navaden"/>
    <w:pPr>
      <w:spacing w:before="360" w:after="0"/>
      <w:jc w:val="center"/>
    </w:pPr>
  </w:style>
  <w:style w:type="paragraph" w:customStyle="1" w:styleId="TechnicalBlock">
    <w:name w:val="Technical Block"/>
    <w:basedOn w:val="Pagedecouverture"/>
    <w:link w:val="TechnicalBlockChar"/>
    <w:rsid w:val="00A91B5E"/>
    <w:pPr>
      <w:spacing w:after="240"/>
      <w:jc w:val="center"/>
    </w:pPr>
    <w:rPr>
      <w:noProof/>
    </w:rPr>
  </w:style>
  <w:style w:type="character" w:customStyle="1" w:styleId="PagedecouvertureChar">
    <w:name w:val="Page de couverture Char"/>
    <w:basedOn w:val="Privzetapisavaodstavka"/>
    <w:link w:val="Pagedecouverture"/>
    <w:rsid w:val="00A91B5E"/>
    <w:rPr>
      <w:rFonts w:ascii="Times New Roman" w:hAnsi="Times New Roman" w:cs="Times New Roman"/>
      <w:sz w:val="24"/>
    </w:rPr>
  </w:style>
  <w:style w:type="character" w:customStyle="1" w:styleId="TechnicalBlockChar">
    <w:name w:val="Technical Block Char"/>
    <w:basedOn w:val="PagedecouvertureChar"/>
    <w:link w:val="TechnicalBlock"/>
    <w:rsid w:val="00A91B5E"/>
    <w:rPr>
      <w:rFonts w:ascii="Times New Roman" w:hAnsi="Times New Roman" w:cs="Times New Roman"/>
      <w:noProof/>
      <w:sz w:val="24"/>
    </w:rPr>
  </w:style>
  <w:style w:type="paragraph" w:customStyle="1" w:styleId="Lignefinal">
    <w:name w:val="Ligne final"/>
    <w:basedOn w:val="Navaden"/>
    <w:next w:val="Navaden"/>
    <w:rsid w:val="00A91B5E"/>
    <w:pPr>
      <w:pBdr>
        <w:bottom w:val="single" w:sz="4" w:space="0" w:color="000000"/>
      </w:pBdr>
      <w:spacing w:before="360" w:line="360" w:lineRule="auto"/>
      <w:ind w:left="3400" w:right="3400"/>
      <w:jc w:val="center"/>
    </w:pPr>
    <w:rPr>
      <w:b/>
      <w:lang w:eastAsia="en-US" w:bidi="ar-SA"/>
    </w:rPr>
  </w:style>
  <w:style w:type="paragraph" w:customStyle="1" w:styleId="EntText">
    <w:name w:val="EntText"/>
    <w:basedOn w:val="Navaden"/>
    <w:rsid w:val="00A91B5E"/>
    <w:pPr>
      <w:spacing w:line="360" w:lineRule="auto"/>
      <w:jc w:val="left"/>
    </w:pPr>
    <w:rPr>
      <w:lang w:eastAsia="en-US" w:bidi="ar-SA"/>
    </w:rPr>
  </w:style>
  <w:style w:type="paragraph" w:customStyle="1" w:styleId="pj">
    <w:name w:val="p.j."/>
    <w:basedOn w:val="Navaden"/>
    <w:link w:val="pjChar"/>
    <w:rsid w:val="00A91B5E"/>
    <w:pPr>
      <w:spacing w:before="1200"/>
      <w:ind w:left="1440" w:hanging="1440"/>
      <w:jc w:val="left"/>
    </w:pPr>
  </w:style>
  <w:style w:type="character" w:customStyle="1" w:styleId="pjChar">
    <w:name w:val="p.j. Char"/>
    <w:basedOn w:val="PagedecouvertureChar"/>
    <w:link w:val="pj"/>
    <w:rsid w:val="00A91B5E"/>
    <w:rPr>
      <w:rFonts w:ascii="Times New Roman" w:hAnsi="Times New Roman" w:cs="Times New Roman"/>
      <w:sz w:val="24"/>
    </w:rPr>
  </w:style>
  <w:style w:type="paragraph" w:customStyle="1" w:styleId="HeaderCouncil">
    <w:name w:val="Header Council"/>
    <w:basedOn w:val="Navaden"/>
    <w:link w:val="HeaderCouncilChar"/>
    <w:rsid w:val="00A91B5E"/>
    <w:pPr>
      <w:spacing w:before="0" w:after="0"/>
    </w:pPr>
    <w:rPr>
      <w:sz w:val="2"/>
    </w:rPr>
  </w:style>
  <w:style w:type="character" w:customStyle="1" w:styleId="HeaderCouncilChar">
    <w:name w:val="Header Council Char"/>
    <w:basedOn w:val="pjChar"/>
    <w:link w:val="HeaderCouncil"/>
    <w:rsid w:val="00A91B5E"/>
    <w:rPr>
      <w:rFonts w:ascii="Times New Roman" w:hAnsi="Times New Roman" w:cs="Times New Roman"/>
      <w:sz w:val="2"/>
    </w:rPr>
  </w:style>
  <w:style w:type="paragraph" w:customStyle="1" w:styleId="HeaderCouncilLarge">
    <w:name w:val="Header Council Large"/>
    <w:basedOn w:val="Navaden"/>
    <w:link w:val="HeaderCouncilLargeChar"/>
    <w:rsid w:val="00A91B5E"/>
    <w:pPr>
      <w:spacing w:before="0" w:after="440"/>
    </w:pPr>
    <w:rPr>
      <w:sz w:val="2"/>
    </w:rPr>
  </w:style>
  <w:style w:type="character" w:customStyle="1" w:styleId="HeaderCouncilLargeChar">
    <w:name w:val="Header Council Large Char"/>
    <w:basedOn w:val="pjChar"/>
    <w:link w:val="HeaderCouncilLarge"/>
    <w:rsid w:val="00A91B5E"/>
    <w:rPr>
      <w:rFonts w:ascii="Times New Roman" w:hAnsi="Times New Roman" w:cs="Times New Roman"/>
      <w:sz w:val="2"/>
    </w:rPr>
  </w:style>
  <w:style w:type="paragraph" w:customStyle="1" w:styleId="FooterCouncil">
    <w:name w:val="Footer Council"/>
    <w:basedOn w:val="Navaden"/>
    <w:link w:val="FooterCouncilChar"/>
    <w:rsid w:val="00A91B5E"/>
    <w:pPr>
      <w:spacing w:before="0" w:after="0"/>
    </w:pPr>
    <w:rPr>
      <w:sz w:val="2"/>
    </w:rPr>
  </w:style>
  <w:style w:type="character" w:customStyle="1" w:styleId="FooterCouncilChar">
    <w:name w:val="Footer Council Char"/>
    <w:basedOn w:val="pjChar"/>
    <w:link w:val="FooterCouncil"/>
    <w:rsid w:val="00A91B5E"/>
    <w:rPr>
      <w:rFonts w:ascii="Times New Roman" w:hAnsi="Times New Roman" w:cs="Times New Roman"/>
      <w:sz w:val="2"/>
    </w:rPr>
  </w:style>
  <w:style w:type="paragraph" w:customStyle="1" w:styleId="FooterText">
    <w:name w:val="Footer Text"/>
    <w:basedOn w:val="Navaden"/>
    <w:rsid w:val="00A91B5E"/>
    <w:pPr>
      <w:spacing w:before="0" w:after="0"/>
      <w:jc w:val="left"/>
    </w:pPr>
    <w:rPr>
      <w:rFonts w:eastAsia="Times New Roman"/>
      <w:szCs w:val="24"/>
      <w:lang w:val="en-GB" w:eastAsia="en-US" w:bidi="ar-SA"/>
    </w:rPr>
  </w:style>
  <w:style w:type="character" w:styleId="Besediloograde">
    <w:name w:val="Placeholder Text"/>
    <w:basedOn w:val="Privzetapisavaodstavka"/>
    <w:uiPriority w:val="99"/>
    <w:semiHidden/>
    <w:rsid w:val="00A91B5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sl-S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Naslov1">
    <w:name w:val="heading 1"/>
    <w:basedOn w:val="Navaden"/>
    <w:next w:val="Text1"/>
    <w:link w:val="Naslov1Znak"/>
    <w:uiPriority w:val="9"/>
    <w:qFormat/>
    <w:pPr>
      <w:keepNext/>
      <w:numPr>
        <w:numId w:val="30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Naslov2">
    <w:name w:val="heading 2"/>
    <w:basedOn w:val="Navaden"/>
    <w:next w:val="Text1"/>
    <w:link w:val="Naslov2Znak"/>
    <w:uiPriority w:val="9"/>
    <w:semiHidden/>
    <w:unhideWhenUsed/>
    <w:qFormat/>
    <w:pPr>
      <w:keepNext/>
      <w:numPr>
        <w:ilvl w:val="1"/>
        <w:numId w:val="30"/>
      </w:numPr>
      <w:outlineLvl w:val="1"/>
    </w:pPr>
    <w:rPr>
      <w:rFonts w:eastAsiaTheme="majorEastAsia"/>
      <w:b/>
      <w:bCs/>
      <w:szCs w:val="26"/>
    </w:rPr>
  </w:style>
  <w:style w:type="paragraph" w:styleId="Naslov3">
    <w:name w:val="heading 3"/>
    <w:basedOn w:val="Navaden"/>
    <w:next w:val="Text1"/>
    <w:link w:val="Naslov3Znak"/>
    <w:uiPriority w:val="9"/>
    <w:semiHidden/>
    <w:unhideWhenUsed/>
    <w:qFormat/>
    <w:pPr>
      <w:keepNext/>
      <w:numPr>
        <w:ilvl w:val="2"/>
        <w:numId w:val="30"/>
      </w:numPr>
      <w:outlineLvl w:val="2"/>
    </w:pPr>
    <w:rPr>
      <w:rFonts w:eastAsiaTheme="majorEastAsia"/>
      <w:bCs/>
      <w:i/>
    </w:rPr>
  </w:style>
  <w:style w:type="paragraph" w:styleId="Naslov4">
    <w:name w:val="heading 4"/>
    <w:basedOn w:val="Navaden"/>
    <w:next w:val="Text1"/>
    <w:link w:val="Naslov4Znak"/>
    <w:uiPriority w:val="9"/>
    <w:semiHidden/>
    <w:unhideWhenUsed/>
    <w:qFormat/>
    <w:pPr>
      <w:keepNext/>
      <w:numPr>
        <w:ilvl w:val="3"/>
        <w:numId w:val="30"/>
      </w:numPr>
      <w:outlineLvl w:val="3"/>
    </w:pPr>
    <w:rPr>
      <w:rFonts w:eastAsiaTheme="majorEastAsia"/>
      <w:bCs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aliases w:val="Bullet List Paragraph,List Paragraph1,Lettre d'introduction,Numbered paragraph 1,Paragrafo elenco,1st level - Bullet List Paragraph,Medium Grid 1 - Accent 21,Normal bullet 2,Numbered List,Elenco a colori - Colore 11,Fiche List Paragraph"/>
    <w:basedOn w:val="Navaden"/>
    <w:link w:val="OdstavekseznamaZnak"/>
    <w:uiPriority w:val="34"/>
    <w:qFormat/>
    <w:pPr>
      <w:spacing w:before="0" w:after="0"/>
      <w:ind w:left="720"/>
      <w:contextualSpacing/>
      <w:jc w:val="left"/>
    </w:pPr>
    <w:rPr>
      <w:rFonts w:asciiTheme="minorHAnsi" w:hAnsiTheme="minorHAnsi" w:cstheme="minorBidi"/>
      <w:sz w:val="22"/>
    </w:rPr>
  </w:style>
  <w:style w:type="character" w:customStyle="1" w:styleId="OdstavekseznamaZnak">
    <w:name w:val="Odstavek seznama Znak"/>
    <w:aliases w:val="Bullet List Paragraph Znak,List Paragraph1 Znak,Lettre d'introduction Znak,Numbered paragraph 1 Znak,Paragrafo elenco Znak,1st level - Bullet List Paragraph Znak,Medium Grid 1 - Accent 21 Znak,Normal bullet 2 Znak"/>
    <w:basedOn w:val="Privzetapisavaodstavka"/>
    <w:link w:val="Odstavekseznama"/>
    <w:uiPriority w:val="34"/>
    <w:qFormat/>
    <w:rPr>
      <w:lang w:val="sl-SI"/>
    </w:rPr>
  </w:style>
  <w:style w:type="table" w:styleId="Tabelamrea">
    <w:name w:val="Table Grid"/>
    <w:basedOn w:val="Navadnatabela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znaenseznam">
    <w:name w:val="List Bullet"/>
    <w:basedOn w:val="Navaden"/>
    <w:uiPriority w:val="99"/>
    <w:semiHidden/>
    <w:unhideWhenUsed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semiHidden/>
    <w:unhideWhenUsed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semiHidden/>
    <w:unhideWhenUsed/>
    <w:pPr>
      <w:numPr>
        <w:numId w:val="3"/>
      </w:numPr>
      <w:contextualSpacing/>
    </w:pPr>
  </w:style>
  <w:style w:type="paragraph" w:styleId="Oznaenseznam4">
    <w:name w:val="List Bullet 4"/>
    <w:basedOn w:val="Navaden"/>
    <w:uiPriority w:val="99"/>
    <w:semiHidden/>
    <w:unhideWhenUsed/>
    <w:pPr>
      <w:numPr>
        <w:numId w:val="4"/>
      </w:numPr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Pr>
      <w:rFonts w:ascii="Tahoma" w:hAnsi="Tahoma" w:cs="Tahoma"/>
      <w:sz w:val="16"/>
      <w:szCs w:val="16"/>
      <w:lang w:val="sl-SI"/>
    </w:rPr>
  </w:style>
  <w:style w:type="paragraph" w:styleId="Napis">
    <w:name w:val="caption"/>
    <w:basedOn w:val="Navaden"/>
    <w:next w:val="Navaden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Kazaloslik">
    <w:name w:val="table of figures"/>
    <w:basedOn w:val="Navaden"/>
    <w:next w:val="Navaden"/>
    <w:uiPriority w:val="99"/>
    <w:semiHidden/>
    <w:unhideWhenUsed/>
    <w:pPr>
      <w:spacing w:after="0"/>
    </w:pPr>
  </w:style>
  <w:style w:type="paragraph" w:styleId="Otevilenseznam">
    <w:name w:val="List Number"/>
    <w:basedOn w:val="Navaden"/>
    <w:uiPriority w:val="99"/>
    <w:semiHidden/>
    <w:unhideWhenUsed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semiHidden/>
    <w:unhideWhenUsed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semiHidden/>
    <w:unhideWhenUsed/>
    <w:pPr>
      <w:numPr>
        <w:numId w:val="7"/>
      </w:numPr>
      <w:contextualSpacing/>
    </w:pPr>
  </w:style>
  <w:style w:type="paragraph" w:styleId="Otevilenseznam4">
    <w:name w:val="List Number 4"/>
    <w:basedOn w:val="Navaden"/>
    <w:uiPriority w:val="99"/>
    <w:semiHidden/>
    <w:unhideWhenUsed/>
    <w:pPr>
      <w:numPr>
        <w:numId w:val="8"/>
      </w:numPr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rFonts w:ascii="Times New Roman" w:hAnsi="Times New Roman" w:cs="Times New Roman"/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Pr>
      <w:rFonts w:ascii="Times New Roman" w:hAnsi="Times New Roman" w:cs="Times New Roman"/>
      <w:b/>
      <w:bCs/>
      <w:sz w:val="20"/>
      <w:szCs w:val="20"/>
      <w:lang w:val="sl-SI"/>
    </w:rPr>
  </w:style>
  <w:style w:type="paragraph" w:styleId="Revizija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Hiperpovezava">
    <w:name w:val="Hyperlink"/>
    <w:basedOn w:val="Privzetapisavaodstavka"/>
    <w:uiPriority w:val="99"/>
    <w:unhideWhenUsed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19246D"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GlavaZnak">
    <w:name w:val="Glava Znak"/>
    <w:basedOn w:val="Privzetapisavaodstavka"/>
    <w:link w:val="Glava"/>
    <w:uiPriority w:val="99"/>
    <w:rsid w:val="0019246D"/>
    <w:rPr>
      <w:rFonts w:ascii="Times New Roman" w:hAnsi="Times New Roman" w:cs="Times New Roman"/>
      <w:sz w:val="24"/>
      <w:lang w:eastAsia="en-US" w:bidi="ar-SA"/>
    </w:rPr>
  </w:style>
  <w:style w:type="paragraph" w:styleId="Noga">
    <w:name w:val="footer"/>
    <w:basedOn w:val="Navaden"/>
    <w:link w:val="NogaZnak"/>
    <w:uiPriority w:val="99"/>
    <w:unhideWhenUsed/>
    <w:rsid w:val="001924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eastAsia="en-US" w:bidi="ar-SA"/>
    </w:rPr>
  </w:style>
  <w:style w:type="character" w:customStyle="1" w:styleId="NogaZnak">
    <w:name w:val="Noga Znak"/>
    <w:basedOn w:val="Privzetapisavaodstavka"/>
    <w:link w:val="Noga"/>
    <w:uiPriority w:val="99"/>
    <w:rsid w:val="0019246D"/>
    <w:rPr>
      <w:rFonts w:ascii="Times New Roman" w:hAnsi="Times New Roman" w:cs="Times New Roman"/>
      <w:sz w:val="24"/>
      <w:lang w:eastAsia="en-US" w:bidi="ar-SA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Znak">
    <w:name w:val="Naslov 1 Znak"/>
    <w:basedOn w:val="Privzetapisavaodstavka"/>
    <w:link w:val="Naslov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Naslov2Znak">
    <w:name w:val="Naslov 2 Znak"/>
    <w:basedOn w:val="Privzetapisavaodstavka"/>
    <w:link w:val="Naslov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Naslov3Znak">
    <w:name w:val="Naslov 3 Znak"/>
    <w:basedOn w:val="Privzetapisavaodstavka"/>
    <w:link w:val="Naslov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Naslov4Znak">
    <w:name w:val="Naslov 4 Znak"/>
    <w:basedOn w:val="Privzetapisavaodstavka"/>
    <w:link w:val="Naslov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NaslovTOC">
    <w:name w:val="TOC Heading"/>
    <w:basedOn w:val="Navaden"/>
    <w:next w:val="Navaden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Kazalovsebine1">
    <w:name w:val="toc 1"/>
    <w:basedOn w:val="Navaden"/>
    <w:next w:val="Navaden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Kazalovsebine2">
    <w:name w:val="toc 2"/>
    <w:basedOn w:val="Navaden"/>
    <w:next w:val="Navaden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Kazalovsebine3">
    <w:name w:val="toc 3"/>
    <w:basedOn w:val="Navaden"/>
    <w:next w:val="Navaden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Kazalovsebine4">
    <w:name w:val="toc 4"/>
    <w:basedOn w:val="Navaden"/>
    <w:next w:val="Navaden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Kazalovsebine5">
    <w:name w:val="toc 5"/>
    <w:basedOn w:val="Navaden"/>
    <w:next w:val="Navaden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Kazalovsebine6">
    <w:name w:val="toc 6"/>
    <w:basedOn w:val="Navaden"/>
    <w:next w:val="Navaden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Kazalovsebine7">
    <w:name w:val="toc 7"/>
    <w:basedOn w:val="Navaden"/>
    <w:next w:val="Navaden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Kazalovsebine8">
    <w:name w:val="toc 8"/>
    <w:basedOn w:val="Navaden"/>
    <w:next w:val="Navaden"/>
    <w:uiPriority w:val="39"/>
    <w:semiHidden/>
    <w:unhideWhenUsed/>
    <w:pPr>
      <w:tabs>
        <w:tab w:val="right" w:leader="dot" w:pos="9071"/>
      </w:tabs>
      <w:jc w:val="left"/>
    </w:pPr>
  </w:style>
  <w:style w:type="paragraph" w:styleId="Kazalovsebine9">
    <w:name w:val="toc 9"/>
    <w:basedOn w:val="Navaden"/>
    <w:next w:val="Navaden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avaden"/>
    <w:rsid w:val="0019246D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avaden"/>
    <w:rsid w:val="0019246D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  <w:rPr>
      <w:lang w:eastAsia="en-US" w:bidi="ar-SA"/>
    </w:rPr>
  </w:style>
  <w:style w:type="character" w:styleId="Sprotnaopomba-sklic">
    <w:name w:val="footnote reference"/>
    <w:basedOn w:val="Privzetapisavaodstavka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avaden"/>
    <w:rsid w:val="0019246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  <w:lang w:eastAsia="en-US" w:bidi="ar-SA"/>
    </w:rPr>
  </w:style>
  <w:style w:type="paragraph" w:customStyle="1" w:styleId="FooterSensitivity">
    <w:name w:val="Footer Sensitivity"/>
    <w:basedOn w:val="Navaden"/>
    <w:rsid w:val="0019246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  <w:lang w:eastAsia="en-US" w:bidi="ar-SA"/>
    </w:rPr>
  </w:style>
  <w:style w:type="paragraph" w:customStyle="1" w:styleId="Text1">
    <w:name w:val="Text 1"/>
    <w:basedOn w:val="Navaden"/>
    <w:pPr>
      <w:ind w:left="850"/>
    </w:pPr>
  </w:style>
  <w:style w:type="paragraph" w:customStyle="1" w:styleId="Text2">
    <w:name w:val="Text 2"/>
    <w:basedOn w:val="Navaden"/>
    <w:pPr>
      <w:ind w:left="1417"/>
    </w:pPr>
  </w:style>
  <w:style w:type="paragraph" w:customStyle="1" w:styleId="Text3">
    <w:name w:val="Text 3"/>
    <w:basedOn w:val="Navaden"/>
    <w:pPr>
      <w:ind w:left="1984"/>
    </w:pPr>
  </w:style>
  <w:style w:type="paragraph" w:customStyle="1" w:styleId="Text4">
    <w:name w:val="Text 4"/>
    <w:basedOn w:val="Navaden"/>
    <w:pPr>
      <w:ind w:left="2551"/>
    </w:pPr>
  </w:style>
  <w:style w:type="paragraph" w:customStyle="1" w:styleId="NormalCentered">
    <w:name w:val="Normal Centered"/>
    <w:basedOn w:val="Navaden"/>
    <w:pPr>
      <w:jc w:val="center"/>
    </w:pPr>
  </w:style>
  <w:style w:type="paragraph" w:customStyle="1" w:styleId="NormalLeft">
    <w:name w:val="Normal Left"/>
    <w:basedOn w:val="Navaden"/>
    <w:pPr>
      <w:jc w:val="left"/>
    </w:pPr>
  </w:style>
  <w:style w:type="paragraph" w:customStyle="1" w:styleId="NormalRight">
    <w:name w:val="Normal Right"/>
    <w:basedOn w:val="Navaden"/>
    <w:pPr>
      <w:jc w:val="right"/>
    </w:pPr>
  </w:style>
  <w:style w:type="paragraph" w:customStyle="1" w:styleId="QuotedText">
    <w:name w:val="Quoted Text"/>
    <w:basedOn w:val="Navaden"/>
    <w:pPr>
      <w:ind w:left="1417"/>
    </w:pPr>
  </w:style>
  <w:style w:type="paragraph" w:customStyle="1" w:styleId="Point0">
    <w:name w:val="Point 0"/>
    <w:basedOn w:val="Navaden"/>
    <w:pPr>
      <w:ind w:left="850" w:hanging="850"/>
    </w:pPr>
  </w:style>
  <w:style w:type="paragraph" w:customStyle="1" w:styleId="Point1">
    <w:name w:val="Point 1"/>
    <w:basedOn w:val="Navaden"/>
    <w:pPr>
      <w:ind w:left="1417" w:hanging="567"/>
    </w:pPr>
  </w:style>
  <w:style w:type="paragraph" w:customStyle="1" w:styleId="Point2">
    <w:name w:val="Point 2"/>
    <w:basedOn w:val="Navaden"/>
    <w:pPr>
      <w:ind w:left="1984" w:hanging="567"/>
    </w:pPr>
  </w:style>
  <w:style w:type="paragraph" w:customStyle="1" w:styleId="Point3">
    <w:name w:val="Point 3"/>
    <w:basedOn w:val="Navaden"/>
    <w:pPr>
      <w:ind w:left="2551" w:hanging="567"/>
    </w:pPr>
  </w:style>
  <w:style w:type="paragraph" w:customStyle="1" w:styleId="Point4">
    <w:name w:val="Point 4"/>
    <w:basedOn w:val="Navaden"/>
    <w:pPr>
      <w:ind w:left="3118" w:hanging="567"/>
    </w:pPr>
  </w:style>
  <w:style w:type="paragraph" w:customStyle="1" w:styleId="Tiret0">
    <w:name w:val="Tiret 0"/>
    <w:basedOn w:val="Point0"/>
    <w:pPr>
      <w:numPr>
        <w:numId w:val="24"/>
      </w:numPr>
    </w:pPr>
  </w:style>
  <w:style w:type="paragraph" w:customStyle="1" w:styleId="Tiret1">
    <w:name w:val="Tiret 1"/>
    <w:basedOn w:val="Point1"/>
    <w:pPr>
      <w:numPr>
        <w:numId w:val="25"/>
      </w:numPr>
    </w:pPr>
  </w:style>
  <w:style w:type="paragraph" w:customStyle="1" w:styleId="Tiret2">
    <w:name w:val="Tiret 2"/>
    <w:basedOn w:val="Point2"/>
    <w:pPr>
      <w:numPr>
        <w:numId w:val="26"/>
      </w:numPr>
    </w:pPr>
  </w:style>
  <w:style w:type="paragraph" w:customStyle="1" w:styleId="Tiret3">
    <w:name w:val="Tiret 3"/>
    <w:basedOn w:val="Point3"/>
    <w:pPr>
      <w:numPr>
        <w:numId w:val="27"/>
      </w:numPr>
    </w:pPr>
  </w:style>
  <w:style w:type="paragraph" w:customStyle="1" w:styleId="Tiret4">
    <w:name w:val="Tiret 4"/>
    <w:basedOn w:val="Point4"/>
    <w:pPr>
      <w:numPr>
        <w:numId w:val="28"/>
      </w:numPr>
    </w:pPr>
  </w:style>
  <w:style w:type="paragraph" w:customStyle="1" w:styleId="PointDouble0">
    <w:name w:val="PointDouble 0"/>
    <w:basedOn w:val="Navaden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avaden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avaden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avaden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avaden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avaden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avaden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avaden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avaden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avaden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avaden"/>
    <w:next w:val="Text1"/>
    <w:pPr>
      <w:numPr>
        <w:numId w:val="29"/>
      </w:numPr>
    </w:pPr>
  </w:style>
  <w:style w:type="paragraph" w:customStyle="1" w:styleId="NumPar2">
    <w:name w:val="NumPar 2"/>
    <w:basedOn w:val="Navaden"/>
    <w:next w:val="Text1"/>
    <w:pPr>
      <w:numPr>
        <w:ilvl w:val="1"/>
        <w:numId w:val="29"/>
      </w:numPr>
    </w:pPr>
  </w:style>
  <w:style w:type="paragraph" w:customStyle="1" w:styleId="NumPar3">
    <w:name w:val="NumPar 3"/>
    <w:basedOn w:val="Navaden"/>
    <w:next w:val="Text1"/>
    <w:pPr>
      <w:numPr>
        <w:ilvl w:val="2"/>
        <w:numId w:val="29"/>
      </w:numPr>
    </w:pPr>
  </w:style>
  <w:style w:type="paragraph" w:customStyle="1" w:styleId="NumPar4">
    <w:name w:val="NumPar 4"/>
    <w:basedOn w:val="Navaden"/>
    <w:next w:val="Text1"/>
    <w:pPr>
      <w:numPr>
        <w:ilvl w:val="3"/>
        <w:numId w:val="29"/>
      </w:numPr>
    </w:pPr>
  </w:style>
  <w:style w:type="paragraph" w:customStyle="1" w:styleId="ManualNumPar1">
    <w:name w:val="Manual NumPar 1"/>
    <w:basedOn w:val="Navaden"/>
    <w:next w:val="Text1"/>
    <w:pPr>
      <w:ind w:left="850" w:hanging="850"/>
    </w:pPr>
  </w:style>
  <w:style w:type="paragraph" w:customStyle="1" w:styleId="ManualNumPar2">
    <w:name w:val="Manual NumPar 2"/>
    <w:basedOn w:val="Navaden"/>
    <w:next w:val="Text1"/>
    <w:pPr>
      <w:ind w:left="850" w:hanging="850"/>
    </w:pPr>
  </w:style>
  <w:style w:type="paragraph" w:customStyle="1" w:styleId="ManualNumPar3">
    <w:name w:val="Manual NumPar 3"/>
    <w:basedOn w:val="Navaden"/>
    <w:next w:val="Text1"/>
    <w:pPr>
      <w:ind w:left="850" w:hanging="850"/>
    </w:pPr>
  </w:style>
  <w:style w:type="paragraph" w:customStyle="1" w:styleId="ManualNumPar4">
    <w:name w:val="Manual NumPar 4"/>
    <w:basedOn w:val="Navaden"/>
    <w:next w:val="Text1"/>
    <w:pPr>
      <w:ind w:left="850" w:hanging="850"/>
    </w:pPr>
  </w:style>
  <w:style w:type="paragraph" w:customStyle="1" w:styleId="QuotedNumPar">
    <w:name w:val="Quoted NumPar"/>
    <w:basedOn w:val="Navaden"/>
    <w:pPr>
      <w:ind w:left="1417" w:hanging="567"/>
    </w:pPr>
  </w:style>
  <w:style w:type="paragraph" w:customStyle="1" w:styleId="ManualHeading1">
    <w:name w:val="Manual Heading 1"/>
    <w:basedOn w:val="Navaden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avaden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avaden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avaden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avaden"/>
    <w:next w:val="Navaden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avaden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avaden"/>
    <w:next w:val="Naslov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avaden"/>
    <w:next w:val="Navaden"/>
    <w:pPr>
      <w:jc w:val="center"/>
    </w:pPr>
    <w:rPr>
      <w:b/>
    </w:rPr>
  </w:style>
  <w:style w:type="character" w:customStyle="1" w:styleId="Marker">
    <w:name w:val="Marker"/>
    <w:basedOn w:val="Privzetapisavaodstavka"/>
    <w:rsid w:val="00A91B5E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Privzetapisavaodstavka"/>
    <w:rPr>
      <w:color w:val="008000"/>
      <w:shd w:val="clear" w:color="auto" w:fill="auto"/>
    </w:rPr>
  </w:style>
  <w:style w:type="character" w:customStyle="1" w:styleId="Marker2">
    <w:name w:val="Marker2"/>
    <w:basedOn w:val="Privzetapisavaodstavka"/>
    <w:rPr>
      <w:color w:val="FF0000"/>
      <w:shd w:val="clear" w:color="auto" w:fill="auto"/>
    </w:rPr>
  </w:style>
  <w:style w:type="paragraph" w:customStyle="1" w:styleId="Point0number">
    <w:name w:val="Point 0 (number)"/>
    <w:basedOn w:val="Navaden"/>
    <w:pPr>
      <w:numPr>
        <w:numId w:val="31"/>
      </w:numPr>
    </w:pPr>
  </w:style>
  <w:style w:type="paragraph" w:customStyle="1" w:styleId="Point1number">
    <w:name w:val="Point 1 (number)"/>
    <w:basedOn w:val="Navaden"/>
    <w:pPr>
      <w:numPr>
        <w:ilvl w:val="2"/>
        <w:numId w:val="31"/>
      </w:numPr>
    </w:pPr>
  </w:style>
  <w:style w:type="paragraph" w:customStyle="1" w:styleId="Point2number">
    <w:name w:val="Point 2 (number)"/>
    <w:basedOn w:val="Navaden"/>
    <w:pPr>
      <w:numPr>
        <w:ilvl w:val="4"/>
        <w:numId w:val="31"/>
      </w:numPr>
    </w:pPr>
  </w:style>
  <w:style w:type="paragraph" w:customStyle="1" w:styleId="Point3number">
    <w:name w:val="Point 3 (number)"/>
    <w:basedOn w:val="Navaden"/>
    <w:pPr>
      <w:numPr>
        <w:ilvl w:val="6"/>
        <w:numId w:val="31"/>
      </w:numPr>
    </w:pPr>
  </w:style>
  <w:style w:type="paragraph" w:customStyle="1" w:styleId="Point0letter">
    <w:name w:val="Point 0 (letter)"/>
    <w:basedOn w:val="Navaden"/>
    <w:pPr>
      <w:numPr>
        <w:ilvl w:val="1"/>
        <w:numId w:val="31"/>
      </w:numPr>
    </w:pPr>
  </w:style>
  <w:style w:type="paragraph" w:customStyle="1" w:styleId="Point1letter">
    <w:name w:val="Point 1 (letter)"/>
    <w:basedOn w:val="Navaden"/>
    <w:pPr>
      <w:numPr>
        <w:ilvl w:val="3"/>
        <w:numId w:val="31"/>
      </w:numPr>
    </w:pPr>
  </w:style>
  <w:style w:type="paragraph" w:customStyle="1" w:styleId="Point2letter">
    <w:name w:val="Point 2 (letter)"/>
    <w:basedOn w:val="Navaden"/>
    <w:pPr>
      <w:numPr>
        <w:ilvl w:val="5"/>
        <w:numId w:val="31"/>
      </w:numPr>
    </w:pPr>
  </w:style>
  <w:style w:type="paragraph" w:customStyle="1" w:styleId="Point3letter">
    <w:name w:val="Point 3 (letter)"/>
    <w:basedOn w:val="Navaden"/>
    <w:pPr>
      <w:numPr>
        <w:ilvl w:val="7"/>
        <w:numId w:val="31"/>
      </w:numPr>
    </w:pPr>
  </w:style>
  <w:style w:type="paragraph" w:customStyle="1" w:styleId="Point4letter">
    <w:name w:val="Point 4 (letter)"/>
    <w:basedOn w:val="Navaden"/>
    <w:pPr>
      <w:numPr>
        <w:ilvl w:val="8"/>
        <w:numId w:val="31"/>
      </w:numPr>
    </w:pPr>
  </w:style>
  <w:style w:type="paragraph" w:customStyle="1" w:styleId="Bullet0">
    <w:name w:val="Bullet 0"/>
    <w:basedOn w:val="Navaden"/>
    <w:pPr>
      <w:numPr>
        <w:numId w:val="32"/>
      </w:numPr>
    </w:pPr>
  </w:style>
  <w:style w:type="paragraph" w:customStyle="1" w:styleId="Bullet1">
    <w:name w:val="Bullet 1"/>
    <w:basedOn w:val="Navaden"/>
    <w:pPr>
      <w:numPr>
        <w:numId w:val="33"/>
      </w:numPr>
    </w:pPr>
  </w:style>
  <w:style w:type="paragraph" w:customStyle="1" w:styleId="Bullet2">
    <w:name w:val="Bullet 2"/>
    <w:basedOn w:val="Navaden"/>
    <w:pPr>
      <w:numPr>
        <w:numId w:val="34"/>
      </w:numPr>
    </w:pPr>
  </w:style>
  <w:style w:type="paragraph" w:customStyle="1" w:styleId="Bullet3">
    <w:name w:val="Bullet 3"/>
    <w:basedOn w:val="Navaden"/>
    <w:pPr>
      <w:numPr>
        <w:numId w:val="35"/>
      </w:numPr>
    </w:pPr>
  </w:style>
  <w:style w:type="paragraph" w:customStyle="1" w:styleId="Bullet4">
    <w:name w:val="Bullet 4"/>
    <w:basedOn w:val="Navaden"/>
    <w:pPr>
      <w:numPr>
        <w:numId w:val="36"/>
      </w:numPr>
    </w:pPr>
  </w:style>
  <w:style w:type="paragraph" w:customStyle="1" w:styleId="Langue">
    <w:name w:val="Langue"/>
    <w:basedOn w:val="Navaden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avaden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avaden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avaden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avaden"/>
    <w:next w:val="Navaden"/>
    <w:link w:val="PagedecouvertureChar"/>
    <w:pPr>
      <w:spacing w:before="0" w:after="0"/>
    </w:pPr>
  </w:style>
  <w:style w:type="paragraph" w:customStyle="1" w:styleId="Declassification">
    <w:name w:val="Declassification"/>
    <w:basedOn w:val="Navaden"/>
    <w:next w:val="Navaden"/>
    <w:pPr>
      <w:spacing w:before="0" w:after="0"/>
    </w:pPr>
  </w:style>
  <w:style w:type="paragraph" w:customStyle="1" w:styleId="Disclaimer">
    <w:name w:val="Disclaimer"/>
    <w:basedOn w:val="Navaden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avaden"/>
    <w:next w:val="Navaden"/>
    <w:pPr>
      <w:jc w:val="center"/>
    </w:pPr>
    <w:rPr>
      <w:b/>
      <w:u w:val="single"/>
    </w:rPr>
  </w:style>
  <w:style w:type="paragraph" w:customStyle="1" w:styleId="Annexetitre">
    <w:name w:val="Annexe titre"/>
    <w:basedOn w:val="Navaden"/>
    <w:next w:val="Navaden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avaden"/>
    <w:next w:val="Navaden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avaden"/>
    <w:next w:val="Fait"/>
    <w:pPr>
      <w:spacing w:before="480"/>
    </w:pPr>
  </w:style>
  <w:style w:type="paragraph" w:customStyle="1" w:styleId="Avertissementtitre">
    <w:name w:val="Avertissement titre"/>
    <w:basedOn w:val="Navaden"/>
    <w:next w:val="Navaden"/>
    <w:pPr>
      <w:keepNext/>
      <w:spacing w:before="480"/>
    </w:pPr>
    <w:rPr>
      <w:u w:val="single"/>
    </w:rPr>
  </w:style>
  <w:style w:type="paragraph" w:customStyle="1" w:styleId="Confidence">
    <w:name w:val="Confidence"/>
    <w:basedOn w:val="Navaden"/>
    <w:next w:val="Navaden"/>
    <w:pPr>
      <w:spacing w:before="360"/>
      <w:jc w:val="center"/>
    </w:pPr>
  </w:style>
  <w:style w:type="paragraph" w:customStyle="1" w:styleId="Confidentialit">
    <w:name w:val="Confidentialité"/>
    <w:basedOn w:val="Navaden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avaden"/>
    <w:pPr>
      <w:numPr>
        <w:numId w:val="37"/>
      </w:numPr>
    </w:pPr>
  </w:style>
  <w:style w:type="paragraph" w:customStyle="1" w:styleId="Corrigendum">
    <w:name w:val="Corrigendum"/>
    <w:basedOn w:val="Navaden"/>
    <w:next w:val="Navaden"/>
    <w:pPr>
      <w:spacing w:before="0" w:after="240"/>
      <w:jc w:val="left"/>
    </w:pPr>
  </w:style>
  <w:style w:type="paragraph" w:customStyle="1" w:styleId="Datedadoption">
    <w:name w:val="Date d'adoption"/>
    <w:basedOn w:val="Navaden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avaden"/>
    <w:next w:val="Navaden"/>
    <w:pPr>
      <w:jc w:val="center"/>
    </w:pPr>
    <w:rPr>
      <w:b/>
      <w:u w:val="single"/>
    </w:rPr>
  </w:style>
  <w:style w:type="paragraph" w:customStyle="1" w:styleId="Fait">
    <w:name w:val="Fait à"/>
    <w:basedOn w:val="Navaden"/>
    <w:next w:val="Institutionquisigne"/>
    <w:pPr>
      <w:keepNext/>
      <w:spacing w:after="0"/>
    </w:pPr>
  </w:style>
  <w:style w:type="paragraph" w:customStyle="1" w:styleId="Formuledadoption">
    <w:name w:val="Formule d'adoption"/>
    <w:basedOn w:val="Navaden"/>
    <w:next w:val="Titrearticle"/>
    <w:pPr>
      <w:keepNext/>
    </w:pPr>
  </w:style>
  <w:style w:type="paragraph" w:customStyle="1" w:styleId="Institutionquiagit">
    <w:name w:val="Institution qui agit"/>
    <w:basedOn w:val="Navaden"/>
    <w:next w:val="Navaden"/>
    <w:pPr>
      <w:keepNext/>
      <w:spacing w:before="600"/>
    </w:pPr>
  </w:style>
  <w:style w:type="paragraph" w:customStyle="1" w:styleId="Institutionquisigne">
    <w:name w:val="Institution qui signe"/>
    <w:basedOn w:val="Navaden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avaden"/>
    <w:pPr>
      <w:ind w:left="709" w:hanging="709"/>
    </w:pPr>
  </w:style>
  <w:style w:type="paragraph" w:customStyle="1" w:styleId="Personnequisigne">
    <w:name w:val="Personne qui signe"/>
    <w:basedOn w:val="Navaden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avaden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avaden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avaden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avaden"/>
    <w:next w:val="Navaden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avaden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Privzetapisavaodstavka"/>
    <w:rPr>
      <w:b/>
      <w:u w:val="single"/>
      <w:shd w:val="clear" w:color="auto" w:fill="auto"/>
    </w:rPr>
  </w:style>
  <w:style w:type="character" w:customStyle="1" w:styleId="Deleted">
    <w:name w:val="Deleted"/>
    <w:basedOn w:val="Privzetapisavaodstavka"/>
    <w:rPr>
      <w:strike/>
      <w:dstrike w:val="0"/>
      <w:shd w:val="clear" w:color="auto" w:fill="auto"/>
    </w:rPr>
  </w:style>
  <w:style w:type="paragraph" w:customStyle="1" w:styleId="Address">
    <w:name w:val="Address"/>
    <w:basedOn w:val="Navaden"/>
    <w:next w:val="Navaden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avaden"/>
    <w:next w:val="Navaden"/>
    <w:rPr>
      <w:i/>
      <w:caps/>
    </w:rPr>
  </w:style>
  <w:style w:type="paragraph" w:customStyle="1" w:styleId="Supertitre">
    <w:name w:val="Supertitre"/>
    <w:basedOn w:val="Navaden"/>
    <w:next w:val="Navaden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avaden"/>
    <w:next w:val="Navaden"/>
    <w:pPr>
      <w:spacing w:before="360" w:after="0"/>
      <w:jc w:val="center"/>
    </w:pPr>
  </w:style>
  <w:style w:type="paragraph" w:customStyle="1" w:styleId="Rfrencecroise">
    <w:name w:val="Référence croisée"/>
    <w:basedOn w:val="Navaden"/>
    <w:pPr>
      <w:spacing w:before="0" w:after="0"/>
      <w:jc w:val="center"/>
    </w:pPr>
  </w:style>
  <w:style w:type="paragraph" w:customStyle="1" w:styleId="Fichefinanciretitre">
    <w:name w:val="Fiche financière titre"/>
    <w:basedOn w:val="Navaden"/>
    <w:next w:val="Navaden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avaden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avaden"/>
    <w:pPr>
      <w:spacing w:after="240"/>
    </w:pPr>
  </w:style>
  <w:style w:type="paragraph" w:customStyle="1" w:styleId="Accompagnant">
    <w:name w:val="Accompagnant"/>
    <w:basedOn w:val="Navaden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avaden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avaden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avaden"/>
    <w:next w:val="Navaden"/>
    <w:pPr>
      <w:spacing w:before="360" w:after="0"/>
      <w:jc w:val="center"/>
    </w:pPr>
  </w:style>
  <w:style w:type="paragraph" w:customStyle="1" w:styleId="TechnicalBlock">
    <w:name w:val="Technical Block"/>
    <w:basedOn w:val="Pagedecouverture"/>
    <w:link w:val="TechnicalBlockChar"/>
    <w:rsid w:val="00A91B5E"/>
    <w:pPr>
      <w:spacing w:after="240"/>
      <w:jc w:val="center"/>
    </w:pPr>
    <w:rPr>
      <w:noProof/>
    </w:rPr>
  </w:style>
  <w:style w:type="character" w:customStyle="1" w:styleId="PagedecouvertureChar">
    <w:name w:val="Page de couverture Char"/>
    <w:basedOn w:val="Privzetapisavaodstavka"/>
    <w:link w:val="Pagedecouverture"/>
    <w:rsid w:val="00A91B5E"/>
    <w:rPr>
      <w:rFonts w:ascii="Times New Roman" w:hAnsi="Times New Roman" w:cs="Times New Roman"/>
      <w:sz w:val="24"/>
    </w:rPr>
  </w:style>
  <w:style w:type="character" w:customStyle="1" w:styleId="TechnicalBlockChar">
    <w:name w:val="Technical Block Char"/>
    <w:basedOn w:val="PagedecouvertureChar"/>
    <w:link w:val="TechnicalBlock"/>
    <w:rsid w:val="00A91B5E"/>
    <w:rPr>
      <w:rFonts w:ascii="Times New Roman" w:hAnsi="Times New Roman" w:cs="Times New Roman"/>
      <w:noProof/>
      <w:sz w:val="24"/>
    </w:rPr>
  </w:style>
  <w:style w:type="paragraph" w:customStyle="1" w:styleId="Lignefinal">
    <w:name w:val="Ligne final"/>
    <w:basedOn w:val="Navaden"/>
    <w:next w:val="Navaden"/>
    <w:rsid w:val="00A91B5E"/>
    <w:pPr>
      <w:pBdr>
        <w:bottom w:val="single" w:sz="4" w:space="0" w:color="000000"/>
      </w:pBdr>
      <w:spacing w:before="360" w:line="360" w:lineRule="auto"/>
      <w:ind w:left="3400" w:right="3400"/>
      <w:jc w:val="center"/>
    </w:pPr>
    <w:rPr>
      <w:b/>
      <w:lang w:eastAsia="en-US" w:bidi="ar-SA"/>
    </w:rPr>
  </w:style>
  <w:style w:type="paragraph" w:customStyle="1" w:styleId="EntText">
    <w:name w:val="EntText"/>
    <w:basedOn w:val="Navaden"/>
    <w:rsid w:val="00A91B5E"/>
    <w:pPr>
      <w:spacing w:line="360" w:lineRule="auto"/>
      <w:jc w:val="left"/>
    </w:pPr>
    <w:rPr>
      <w:lang w:eastAsia="en-US" w:bidi="ar-SA"/>
    </w:rPr>
  </w:style>
  <w:style w:type="paragraph" w:customStyle="1" w:styleId="pj">
    <w:name w:val="p.j."/>
    <w:basedOn w:val="Navaden"/>
    <w:link w:val="pjChar"/>
    <w:rsid w:val="00A91B5E"/>
    <w:pPr>
      <w:spacing w:before="1200"/>
      <w:ind w:left="1440" w:hanging="1440"/>
      <w:jc w:val="left"/>
    </w:pPr>
  </w:style>
  <w:style w:type="character" w:customStyle="1" w:styleId="pjChar">
    <w:name w:val="p.j. Char"/>
    <w:basedOn w:val="PagedecouvertureChar"/>
    <w:link w:val="pj"/>
    <w:rsid w:val="00A91B5E"/>
    <w:rPr>
      <w:rFonts w:ascii="Times New Roman" w:hAnsi="Times New Roman" w:cs="Times New Roman"/>
      <w:sz w:val="24"/>
    </w:rPr>
  </w:style>
  <w:style w:type="paragraph" w:customStyle="1" w:styleId="HeaderCouncil">
    <w:name w:val="Header Council"/>
    <w:basedOn w:val="Navaden"/>
    <w:link w:val="HeaderCouncilChar"/>
    <w:rsid w:val="00A91B5E"/>
    <w:pPr>
      <w:spacing w:before="0" w:after="0"/>
    </w:pPr>
    <w:rPr>
      <w:sz w:val="2"/>
    </w:rPr>
  </w:style>
  <w:style w:type="character" w:customStyle="1" w:styleId="HeaderCouncilChar">
    <w:name w:val="Header Council Char"/>
    <w:basedOn w:val="pjChar"/>
    <w:link w:val="HeaderCouncil"/>
    <w:rsid w:val="00A91B5E"/>
    <w:rPr>
      <w:rFonts w:ascii="Times New Roman" w:hAnsi="Times New Roman" w:cs="Times New Roman"/>
      <w:sz w:val="2"/>
    </w:rPr>
  </w:style>
  <w:style w:type="paragraph" w:customStyle="1" w:styleId="HeaderCouncilLarge">
    <w:name w:val="Header Council Large"/>
    <w:basedOn w:val="Navaden"/>
    <w:link w:val="HeaderCouncilLargeChar"/>
    <w:rsid w:val="00A91B5E"/>
    <w:pPr>
      <w:spacing w:before="0" w:after="440"/>
    </w:pPr>
    <w:rPr>
      <w:sz w:val="2"/>
    </w:rPr>
  </w:style>
  <w:style w:type="character" w:customStyle="1" w:styleId="HeaderCouncilLargeChar">
    <w:name w:val="Header Council Large Char"/>
    <w:basedOn w:val="pjChar"/>
    <w:link w:val="HeaderCouncilLarge"/>
    <w:rsid w:val="00A91B5E"/>
    <w:rPr>
      <w:rFonts w:ascii="Times New Roman" w:hAnsi="Times New Roman" w:cs="Times New Roman"/>
      <w:sz w:val="2"/>
    </w:rPr>
  </w:style>
  <w:style w:type="paragraph" w:customStyle="1" w:styleId="FooterCouncil">
    <w:name w:val="Footer Council"/>
    <w:basedOn w:val="Navaden"/>
    <w:link w:val="FooterCouncilChar"/>
    <w:rsid w:val="00A91B5E"/>
    <w:pPr>
      <w:spacing w:before="0" w:after="0"/>
    </w:pPr>
    <w:rPr>
      <w:sz w:val="2"/>
    </w:rPr>
  </w:style>
  <w:style w:type="character" w:customStyle="1" w:styleId="FooterCouncilChar">
    <w:name w:val="Footer Council Char"/>
    <w:basedOn w:val="pjChar"/>
    <w:link w:val="FooterCouncil"/>
    <w:rsid w:val="00A91B5E"/>
    <w:rPr>
      <w:rFonts w:ascii="Times New Roman" w:hAnsi="Times New Roman" w:cs="Times New Roman"/>
      <w:sz w:val="2"/>
    </w:rPr>
  </w:style>
  <w:style w:type="paragraph" w:customStyle="1" w:styleId="FooterText">
    <w:name w:val="Footer Text"/>
    <w:basedOn w:val="Navaden"/>
    <w:rsid w:val="00A91B5E"/>
    <w:pPr>
      <w:spacing w:before="0" w:after="0"/>
      <w:jc w:val="left"/>
    </w:pPr>
    <w:rPr>
      <w:rFonts w:eastAsia="Times New Roman"/>
      <w:szCs w:val="24"/>
      <w:lang w:val="en-GB" w:eastAsia="en-US" w:bidi="ar-SA"/>
    </w:rPr>
  </w:style>
  <w:style w:type="character" w:styleId="Besediloograde">
    <w:name w:val="Placeholder Text"/>
    <w:basedOn w:val="Privzetapisavaodstavka"/>
    <w:uiPriority w:val="99"/>
    <w:semiHidden/>
    <w:rsid w:val="00A91B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3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74128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0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6944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61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61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86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776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8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3449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57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1141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6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5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19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17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93808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6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2680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5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93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64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215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9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6907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06105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9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93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448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140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20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8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094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8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2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71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91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2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25039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5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8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3953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0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56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82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7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7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707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6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54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5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560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7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0574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7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692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52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9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57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5168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6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775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7377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97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70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745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628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5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879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76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5721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27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95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64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84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1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7299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0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98158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8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596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86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79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96906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9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8098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27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7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331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1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1276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9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11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1312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09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17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28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533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2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7116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14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0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2107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5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871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1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0727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2.emf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emf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5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Status xmlns="4f503d93-73c1-4597-96f4-f7a992e3c63a">Not Started</EC_Collab_Status>
    <EC_Collab_Reference xmlns="4f503d93-73c1-4597-96f4-f7a992e3c63a" xsi:nil="true"/>
    <_Status xmlns="http://schemas.microsoft.com/sharepoint/v3/fields">Not Started</_Status>
    <EC_Collab_DocumentLanguage xmlns="4f503d93-73c1-4597-96f4-f7a992e3c63a">EN</EC_Collab_DocumentLanguag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7F79090A4EED54B9565DA1B083712D8" ma:contentTypeVersion="0" ma:contentTypeDescription="Create a new document in this library." ma:contentTypeScope="" ma:versionID="acc170ae29c4033156b46acd2cb31a7b">
  <xsd:schema xmlns:xsd="http://www.w3.org/2001/XMLSchema" xmlns:xs="http://www.w3.org/2001/XMLSchema" xmlns:p="http://schemas.microsoft.com/office/2006/metadata/properties" xmlns:ns2="http://schemas.microsoft.com/sharepoint/v3/fields" xmlns:ns3="4f503d93-73c1-4597-96f4-f7a992e3c63a" targetNamespace="http://schemas.microsoft.com/office/2006/metadata/properties" ma:root="true" ma:fieldsID="0897e21abd97d55d745b11144d28b977" ns2:_="" ns3:_="">
    <xsd:import namespace="http://schemas.microsoft.com/sharepoint/v3/fields"/>
    <xsd:import namespace="4f503d93-73c1-4597-96f4-f7a992e3c63a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03d93-73c1-4597-96f4-f7a992e3c63a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4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5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F32CF3-06DA-4F90-8E5C-23AA58666746}">
  <ds:schemaRefs>
    <ds:schemaRef ds:uri="http://schemas.microsoft.com/office/2006/metadata/properties"/>
    <ds:schemaRef ds:uri="http://schemas.microsoft.com/office/infopath/2007/PartnerControls"/>
    <ds:schemaRef ds:uri="4f503d93-73c1-4597-96f4-f7a992e3c63a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488A0839-0427-451A-93EB-E48BD82356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93A595-5C7A-4851-907A-CB50E819F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4f503d93-73c1-4597-96f4-f7a992e3c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</Template>
  <TotalTime>0</TotalTime>
  <Pages>9</Pages>
  <Words>2112</Words>
  <Characters>12039</Characters>
  <Application>Microsoft Office Word</Application>
  <DocSecurity>0</DocSecurity>
  <Lines>100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</Company>
  <LinksUpToDate>false</LinksUpToDate>
  <CharactersWithSpaces>14123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LANDTMETERS Tina</dc:creator>
  <cp:lastModifiedBy>Tina Mithans</cp:lastModifiedBy>
  <cp:revision>2</cp:revision>
  <cp:lastPrinted>2018-05-08T12:10:00Z</cp:lastPrinted>
  <dcterms:created xsi:type="dcterms:W3CDTF">2018-05-14T08:04:00Z</dcterms:created>
  <dcterms:modified xsi:type="dcterms:W3CDTF">2018-05-14T08:04:00Z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6.0.1.0</vt:lpwstr>
  </property>
  <property fmtid="{D5CDD505-2E9C-101B-9397-08002B2CF9AE}" pid="4" name="Last edited using">
    <vt:lpwstr>DocuWrite 4.1.18, Build 20180416</vt:lpwstr>
  </property>
  <property fmtid="{D5CDD505-2E9C-101B-9397-08002B2CF9AE}" pid="5" name="Created using">
    <vt:lpwstr>DocuWrite 4.1.18, Build 20180416</vt:lpwstr>
  </property>
  <property fmtid="{D5CDD505-2E9C-101B-9397-08002B2CF9AE}" pid="6" name="First annex">
    <vt:lpwstr>1</vt:lpwstr>
  </property>
  <property fmtid="{D5CDD505-2E9C-101B-9397-08002B2CF9AE}" pid="7" name="Last annex">
    <vt:lpwstr>2</vt:lpwstr>
  </property>
  <property fmtid="{D5CDD505-2E9C-101B-9397-08002B2CF9AE}" pid="8" name="Unique annex">
    <vt:lpwstr>0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evel of sensitivity">
    <vt:lpwstr>Standard treatment</vt:lpwstr>
  </property>
  <property fmtid="{D5CDD505-2E9C-101B-9397-08002B2CF9AE}" pid="12" name="LWTemplateID">
    <vt:lpwstr>SG-017</vt:lpwstr>
  </property>
  <property fmtid="{D5CDD505-2E9C-101B-9397-08002B2CF9AE}" pid="13" name="ContentTypeId">
    <vt:lpwstr>0x010100258AA79CEB83498886A3A0868112325000C7F79090A4EED54B9565DA1B083712D8</vt:lpwstr>
  </property>
  <property fmtid="{D5CDD505-2E9C-101B-9397-08002B2CF9AE}" pid="14" name="DQCStatus">
    <vt:lpwstr>Yellow (DQC version 03)</vt:lpwstr>
  </property>
</Properties>
</file>