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1EECB4" w14:textId="77777777" w:rsidR="00B15AA5" w:rsidRDefault="00B15AA5" w:rsidP="00B15AA5"/>
    <w:tbl>
      <w:tblPr>
        <w:tblW w:w="0" w:type="auto"/>
        <w:tblLayout w:type="fixed"/>
        <w:tblCellMar>
          <w:left w:w="0" w:type="dxa"/>
          <w:right w:w="0" w:type="dxa"/>
        </w:tblCellMar>
        <w:tblLook w:val="0000" w:firstRow="0" w:lastRow="0" w:firstColumn="0" w:lastColumn="0" w:noHBand="0" w:noVBand="0"/>
      </w:tblPr>
      <w:tblGrid>
        <w:gridCol w:w="4253"/>
        <w:gridCol w:w="4819"/>
      </w:tblGrid>
      <w:tr w:rsidR="00405EA6" w:rsidRPr="00405EA6" w14:paraId="45C155EC" w14:textId="77777777" w:rsidTr="005F755C">
        <w:trPr>
          <w:trHeight w:hRule="exact" w:val="426"/>
        </w:trPr>
        <w:tc>
          <w:tcPr>
            <w:tcW w:w="4253" w:type="dxa"/>
            <w:tcBorders>
              <w:bottom w:val="single" w:sz="4" w:space="0" w:color="000000"/>
            </w:tcBorders>
          </w:tcPr>
          <w:p w14:paraId="6A6B7A2C" w14:textId="77777777" w:rsidR="00B15AA5" w:rsidRPr="00405EA6" w:rsidRDefault="00B15AA5" w:rsidP="005F755C">
            <w:pPr>
              <w:snapToGrid w:val="0"/>
              <w:contextualSpacing/>
              <w:jc w:val="both"/>
              <w:rPr>
                <w:rFonts w:ascii="Arial" w:eastAsia="Calibri" w:hAnsi="Arial" w:cs="Arial"/>
                <w:b/>
                <w:lang w:val="hr-HR"/>
              </w:rPr>
            </w:pPr>
            <w:r w:rsidRPr="00405EA6">
              <w:rPr>
                <w:rFonts w:ascii="Arial" w:eastAsia="Calibri" w:hAnsi="Arial" w:cs="Arial"/>
                <w:b/>
                <w:lang w:val="hr-HR"/>
              </w:rPr>
              <w:t>Sporočilo za javnost</w:t>
            </w:r>
          </w:p>
        </w:tc>
        <w:tc>
          <w:tcPr>
            <w:tcW w:w="4819" w:type="dxa"/>
            <w:tcBorders>
              <w:bottom w:val="single" w:sz="4" w:space="0" w:color="000000"/>
            </w:tcBorders>
          </w:tcPr>
          <w:p w14:paraId="383AE072" w14:textId="03EA31C4" w:rsidR="00B15AA5" w:rsidRPr="00405EA6" w:rsidRDefault="000634A3" w:rsidP="005F755C">
            <w:pPr>
              <w:tabs>
                <w:tab w:val="left" w:pos="1134"/>
                <w:tab w:val="left" w:pos="2268"/>
                <w:tab w:val="left" w:pos="3402"/>
                <w:tab w:val="left" w:pos="4536"/>
                <w:tab w:val="left" w:pos="5670"/>
                <w:tab w:val="left" w:pos="6804"/>
                <w:tab w:val="left" w:pos="7938"/>
              </w:tabs>
              <w:snapToGrid w:val="0"/>
              <w:ind w:left="720"/>
              <w:contextualSpacing/>
              <w:jc w:val="right"/>
              <w:rPr>
                <w:rFonts w:ascii="Arial" w:hAnsi="Arial" w:cs="Arial"/>
                <w:lang w:val="hr-HR"/>
              </w:rPr>
            </w:pPr>
            <w:r w:rsidRPr="00405EA6">
              <w:rPr>
                <w:rFonts w:ascii="Arial" w:hAnsi="Arial" w:cs="Arial"/>
                <w:lang w:val="hr-HR"/>
              </w:rPr>
              <w:t>2</w:t>
            </w:r>
            <w:r w:rsidR="00D647F1">
              <w:rPr>
                <w:rFonts w:ascii="Arial" w:hAnsi="Arial" w:cs="Arial"/>
                <w:lang w:val="hr-HR"/>
              </w:rPr>
              <w:t>8</w:t>
            </w:r>
            <w:r w:rsidRPr="00405EA6">
              <w:rPr>
                <w:rFonts w:ascii="Arial" w:hAnsi="Arial" w:cs="Arial"/>
                <w:lang w:val="hr-HR"/>
              </w:rPr>
              <w:t>. februar</w:t>
            </w:r>
            <w:r w:rsidR="00B15AA5" w:rsidRPr="00405EA6">
              <w:rPr>
                <w:rFonts w:ascii="Arial" w:hAnsi="Arial" w:cs="Arial"/>
                <w:lang w:val="hr-HR"/>
              </w:rPr>
              <w:t xml:space="preserve"> 201</w:t>
            </w:r>
            <w:r w:rsidRPr="00405EA6">
              <w:rPr>
                <w:rFonts w:ascii="Arial" w:hAnsi="Arial" w:cs="Arial"/>
                <w:lang w:val="hr-HR"/>
              </w:rPr>
              <w:t>9</w:t>
            </w:r>
          </w:p>
        </w:tc>
      </w:tr>
    </w:tbl>
    <w:p w14:paraId="5DED9F23" w14:textId="2C3ADDFE" w:rsidR="00C77DD2" w:rsidRPr="007A450C" w:rsidRDefault="007A450C" w:rsidP="00B15AA5">
      <w:pPr>
        <w:pStyle w:val="Titletext"/>
        <w:rPr>
          <w:rFonts w:ascii="Arial" w:hAnsi="Arial" w:cs="Arial"/>
          <w:b w:val="0"/>
          <w:sz w:val="24"/>
          <w:szCs w:val="36"/>
          <w:lang w:val="hr-HR"/>
        </w:rPr>
      </w:pPr>
      <w:r>
        <w:rPr>
          <w:rFonts w:ascii="Arial" w:hAnsi="Arial" w:cs="Arial"/>
          <w:b w:val="0"/>
          <w:sz w:val="24"/>
          <w:szCs w:val="36"/>
          <w:lang w:val="hr-HR"/>
        </w:rPr>
        <w:t>OKVIRNA EVROPSKA DIREKTIVA O VODAH</w:t>
      </w:r>
    </w:p>
    <w:p w14:paraId="3FF01934" w14:textId="77777777" w:rsidR="007A450C" w:rsidRPr="00405EA6" w:rsidRDefault="007A450C" w:rsidP="00B15AA5">
      <w:pPr>
        <w:pStyle w:val="Titletext"/>
        <w:rPr>
          <w:rFonts w:ascii="Arial" w:hAnsi="Arial" w:cs="Arial"/>
          <w:b w:val="0"/>
          <w:sz w:val="28"/>
          <w:szCs w:val="36"/>
          <w:lang w:val="hr-HR"/>
        </w:rPr>
      </w:pPr>
    </w:p>
    <w:p w14:paraId="3F130902" w14:textId="6A296A75" w:rsidR="007A450C" w:rsidRPr="003B73EC" w:rsidRDefault="00D647F1" w:rsidP="007A450C">
      <w:pPr>
        <w:jc w:val="center"/>
        <w:rPr>
          <w:rFonts w:ascii="Arial" w:hAnsi="Arial" w:cs="Arial"/>
          <w:b/>
          <w:sz w:val="32"/>
          <w:lang w:val="sl-SI"/>
        </w:rPr>
      </w:pPr>
      <w:r>
        <w:rPr>
          <w:rFonts w:ascii="Arial" w:hAnsi="Arial" w:cs="Arial"/>
          <w:b/>
          <w:sz w:val="32"/>
          <w:lang w:val="sl-SI"/>
        </w:rPr>
        <w:t>Premalo zagreti in neučinkoviti</w:t>
      </w:r>
      <w:r w:rsidR="007A450C" w:rsidRPr="003B73EC">
        <w:rPr>
          <w:rFonts w:ascii="Arial" w:hAnsi="Arial" w:cs="Arial"/>
          <w:b/>
          <w:sz w:val="32"/>
          <w:lang w:val="sl-SI"/>
        </w:rPr>
        <w:t>: objavljena so poročila držav članic EU o vodah</w:t>
      </w:r>
    </w:p>
    <w:p w14:paraId="4C9BF8F9" w14:textId="16AB4752" w:rsidR="007A450C" w:rsidRPr="003B73EC" w:rsidRDefault="007A450C" w:rsidP="007A450C">
      <w:pPr>
        <w:jc w:val="center"/>
        <w:rPr>
          <w:rFonts w:ascii="Arial" w:hAnsi="Arial" w:cs="Arial"/>
          <w:b/>
          <w:sz w:val="28"/>
          <w:lang w:val="sl-SI"/>
        </w:rPr>
      </w:pPr>
    </w:p>
    <w:p w14:paraId="556A6077" w14:textId="16F1410C" w:rsidR="007A450C" w:rsidRPr="003B73EC" w:rsidRDefault="007A450C" w:rsidP="007A450C">
      <w:pPr>
        <w:jc w:val="both"/>
        <w:rPr>
          <w:rFonts w:ascii="Arial" w:hAnsi="Arial" w:cs="Arial"/>
          <w:lang w:val="sl-SI"/>
        </w:rPr>
      </w:pPr>
      <w:r w:rsidRPr="003B73EC">
        <w:rPr>
          <w:rFonts w:ascii="Arial" w:hAnsi="Arial" w:cs="Arial"/>
          <w:lang w:val="sl-SI"/>
        </w:rPr>
        <w:t xml:space="preserve">Evropske reke trpijo. </w:t>
      </w:r>
      <w:bookmarkStart w:id="0" w:name="_GoBack"/>
      <w:r w:rsidRPr="003B73EC">
        <w:rPr>
          <w:rFonts w:ascii="Arial" w:hAnsi="Arial" w:cs="Arial"/>
          <w:lang w:val="sl-SI"/>
        </w:rPr>
        <w:t>Kljub močni evropski zakonodaji o vodah je danes objavljeno poročilo Evropske komisij</w:t>
      </w:r>
      <w:r w:rsidR="00744C7C">
        <w:rPr>
          <w:rFonts w:ascii="Arial" w:hAnsi="Arial" w:cs="Arial"/>
          <w:lang w:val="sl-SI"/>
        </w:rPr>
        <w:t>e o implementaciji le-te</w:t>
      </w:r>
      <w:r w:rsidRPr="003B73EC">
        <w:rPr>
          <w:rFonts w:ascii="Arial" w:hAnsi="Arial" w:cs="Arial"/>
          <w:lang w:val="sl-SI"/>
        </w:rPr>
        <w:t xml:space="preserve"> podpovprečno, slabo in</w:t>
      </w:r>
      <w:r w:rsidR="00744C7C">
        <w:rPr>
          <w:rFonts w:ascii="Arial" w:hAnsi="Arial" w:cs="Arial"/>
          <w:lang w:val="sl-SI"/>
        </w:rPr>
        <w:t xml:space="preserve"> polno razočaranj. Kljub nekaterim</w:t>
      </w:r>
      <w:r w:rsidRPr="003B73EC">
        <w:rPr>
          <w:rFonts w:ascii="Arial" w:hAnsi="Arial" w:cs="Arial"/>
          <w:lang w:val="sl-SI"/>
        </w:rPr>
        <w:t xml:space="preserve"> nap</w:t>
      </w:r>
      <w:r w:rsidR="00744C7C">
        <w:rPr>
          <w:rFonts w:ascii="Arial" w:hAnsi="Arial" w:cs="Arial"/>
          <w:lang w:val="sl-SI"/>
        </w:rPr>
        <w:t>redkom so države članice še</w:t>
      </w:r>
      <w:r w:rsidRPr="003B73EC">
        <w:rPr>
          <w:rFonts w:ascii="Arial" w:hAnsi="Arial" w:cs="Arial"/>
          <w:lang w:val="sl-SI"/>
        </w:rPr>
        <w:t xml:space="preserve"> daleč od tega, da </w:t>
      </w:r>
      <w:r w:rsidR="00744C7C">
        <w:rPr>
          <w:rFonts w:ascii="Arial" w:hAnsi="Arial" w:cs="Arial"/>
          <w:lang w:val="sl-SI"/>
        </w:rPr>
        <w:t xml:space="preserve">bi </w:t>
      </w:r>
      <w:r w:rsidRPr="003B73EC">
        <w:rPr>
          <w:rFonts w:ascii="Arial" w:hAnsi="Arial" w:cs="Arial"/>
          <w:lang w:val="sl-SI"/>
        </w:rPr>
        <w:t xml:space="preserve">evropske </w:t>
      </w:r>
      <w:r w:rsidR="00744C7C">
        <w:rPr>
          <w:rFonts w:ascii="Arial" w:hAnsi="Arial" w:cs="Arial"/>
          <w:lang w:val="sl-SI"/>
        </w:rPr>
        <w:t>reke, jezera in mokrišča dosegli</w:t>
      </w:r>
      <w:r w:rsidRPr="003B73EC">
        <w:rPr>
          <w:rFonts w:ascii="Arial" w:hAnsi="Arial" w:cs="Arial"/>
          <w:lang w:val="sl-SI"/>
        </w:rPr>
        <w:t xml:space="preserve"> minimalne standarde do leta 2027. Za WWF je to le še en dokaz, da članice </w:t>
      </w:r>
      <w:r w:rsidR="00744C7C">
        <w:rPr>
          <w:rFonts w:ascii="Arial" w:hAnsi="Arial" w:cs="Arial"/>
          <w:lang w:val="sl-SI"/>
        </w:rPr>
        <w:t>resnično podcenjujejo njihove zaveze</w:t>
      </w:r>
      <w:r w:rsidRPr="003B73EC">
        <w:rPr>
          <w:rFonts w:ascii="Arial" w:hAnsi="Arial" w:cs="Arial"/>
          <w:lang w:val="sl-SI"/>
        </w:rPr>
        <w:t xml:space="preserve"> in tako ogrožajo </w:t>
      </w:r>
      <w:r w:rsidR="00744C7C">
        <w:rPr>
          <w:rFonts w:ascii="Arial" w:hAnsi="Arial" w:cs="Arial"/>
          <w:lang w:val="sl-SI"/>
        </w:rPr>
        <w:t>dostopnost vode za ljudi in naravo.</w:t>
      </w:r>
    </w:p>
    <w:bookmarkEnd w:id="0"/>
    <w:p w14:paraId="6D03A818" w14:textId="77777777" w:rsidR="007A450C" w:rsidRPr="003B73EC" w:rsidRDefault="007A450C" w:rsidP="007A450C">
      <w:pPr>
        <w:jc w:val="both"/>
        <w:rPr>
          <w:rFonts w:ascii="Arial" w:hAnsi="Arial" w:cs="Arial"/>
          <w:lang w:val="sl-SI"/>
        </w:rPr>
      </w:pPr>
    </w:p>
    <w:p w14:paraId="76D75497" w14:textId="2747E22E" w:rsidR="007A450C" w:rsidRPr="003B73EC" w:rsidRDefault="007A450C" w:rsidP="007A450C">
      <w:pPr>
        <w:jc w:val="both"/>
        <w:rPr>
          <w:rFonts w:ascii="Arial" w:hAnsi="Arial" w:cs="Arial"/>
          <w:lang w:val="sl-SI"/>
        </w:rPr>
      </w:pPr>
      <w:r w:rsidRPr="003B73EC">
        <w:rPr>
          <w:rFonts w:ascii="Arial" w:hAnsi="Arial" w:cs="Arial"/>
          <w:lang w:val="sl-SI"/>
        </w:rPr>
        <w:t xml:space="preserve">Peto poročilo Evropske Komisije o implemetaciji Okvirne direktive o vodah temelji na nacionalnih </w:t>
      </w:r>
      <w:r w:rsidR="00744C7C">
        <w:rPr>
          <w:rFonts w:ascii="Arial" w:hAnsi="Arial" w:cs="Arial"/>
          <w:lang w:val="sl-SI"/>
        </w:rPr>
        <w:t>načrtih za upravljanje z vodami</w:t>
      </w:r>
      <w:r w:rsidRPr="003B73EC">
        <w:rPr>
          <w:rFonts w:ascii="Arial" w:hAnsi="Arial" w:cs="Arial"/>
          <w:lang w:val="sl-SI"/>
        </w:rPr>
        <w:t xml:space="preserve"> v obdobju 2015-2021. Okvirni plani za dosego ciljev so zahteva direktive in kot taki učinkovito orodje za </w:t>
      </w:r>
      <w:r w:rsidR="00583A00">
        <w:rPr>
          <w:rFonts w:ascii="Arial" w:hAnsi="Arial" w:cs="Arial"/>
          <w:lang w:val="sl-SI"/>
        </w:rPr>
        <w:t>varovanje, izboljšanje in trajnostno rabo sladkovodnih ekosistemov v vsej Uniji</w:t>
      </w:r>
      <w:r w:rsidRPr="003B73EC">
        <w:rPr>
          <w:rFonts w:ascii="Arial" w:hAnsi="Arial" w:cs="Arial"/>
          <w:lang w:val="sl-SI"/>
        </w:rPr>
        <w:t>. Glede na oceno načrtov za upravljanje je Evropska Komisija podala priporočila državam članicam za izbol</w:t>
      </w:r>
      <w:r w:rsidR="00FD04C9">
        <w:rPr>
          <w:rFonts w:ascii="Arial" w:hAnsi="Arial" w:cs="Arial"/>
          <w:lang w:val="sl-SI"/>
        </w:rPr>
        <w:t>jšave pri</w:t>
      </w:r>
      <w:r w:rsidRPr="003B73EC">
        <w:rPr>
          <w:rFonts w:ascii="Arial" w:hAnsi="Arial" w:cs="Arial"/>
          <w:lang w:val="sl-SI"/>
        </w:rPr>
        <w:t xml:space="preserve"> upravljanju voda. Hk</w:t>
      </w:r>
      <w:r w:rsidR="00583A00">
        <w:rPr>
          <w:rFonts w:ascii="Arial" w:hAnsi="Arial" w:cs="Arial"/>
          <w:lang w:val="sl-SI"/>
        </w:rPr>
        <w:t>rati je priznala, da je nujno</w:t>
      </w:r>
      <w:r w:rsidRPr="003B73EC">
        <w:rPr>
          <w:rFonts w:ascii="Arial" w:hAnsi="Arial" w:cs="Arial"/>
          <w:lang w:val="sl-SI"/>
        </w:rPr>
        <w:t xml:space="preserve"> potreben velik premik v delovanju članic na področju upravljanja s </w:t>
      </w:r>
      <w:r w:rsidR="00FD04C9">
        <w:rPr>
          <w:rFonts w:ascii="Arial" w:hAnsi="Arial" w:cs="Arial"/>
          <w:lang w:val="sl-SI"/>
        </w:rPr>
        <w:t>pritiski na vodne vire</w:t>
      </w:r>
      <w:r w:rsidR="00583A00">
        <w:rPr>
          <w:rFonts w:ascii="Arial" w:hAnsi="Arial" w:cs="Arial"/>
          <w:lang w:val="sl-SI"/>
        </w:rPr>
        <w:t xml:space="preserve"> (npr.</w:t>
      </w:r>
      <w:r w:rsidRPr="003B73EC">
        <w:rPr>
          <w:rFonts w:ascii="Arial" w:hAnsi="Arial" w:cs="Arial"/>
          <w:lang w:val="sl-SI"/>
        </w:rPr>
        <w:t xml:space="preserve"> onesnaževanje</w:t>
      </w:r>
      <w:r w:rsidR="00583A00">
        <w:rPr>
          <w:rFonts w:ascii="Arial" w:hAnsi="Arial" w:cs="Arial"/>
          <w:lang w:val="sl-SI"/>
        </w:rPr>
        <w:t xml:space="preserve"> iz kmetijstva</w:t>
      </w:r>
      <w:r w:rsidRPr="003B73EC">
        <w:rPr>
          <w:rFonts w:ascii="Arial" w:hAnsi="Arial" w:cs="Arial"/>
          <w:lang w:val="sl-SI"/>
        </w:rPr>
        <w:t xml:space="preserve"> in </w:t>
      </w:r>
      <w:r w:rsidR="00583A00">
        <w:rPr>
          <w:rFonts w:ascii="Arial" w:hAnsi="Arial" w:cs="Arial"/>
          <w:lang w:val="sl-SI"/>
        </w:rPr>
        <w:t>prekomerna raba</w:t>
      </w:r>
      <w:r w:rsidRPr="003B73EC">
        <w:rPr>
          <w:rFonts w:ascii="Arial" w:hAnsi="Arial" w:cs="Arial"/>
          <w:lang w:val="sl-SI"/>
        </w:rPr>
        <w:t xml:space="preserve"> vode).</w:t>
      </w:r>
    </w:p>
    <w:p w14:paraId="0D7928AF" w14:textId="77777777" w:rsidR="007A450C" w:rsidRPr="003B73EC" w:rsidRDefault="007A450C" w:rsidP="007A450C">
      <w:pPr>
        <w:jc w:val="both"/>
        <w:rPr>
          <w:rFonts w:ascii="Arial" w:hAnsi="Arial" w:cs="Arial"/>
          <w:lang w:val="sl-SI"/>
        </w:rPr>
      </w:pPr>
    </w:p>
    <w:p w14:paraId="7C1A79C4" w14:textId="023F72F3" w:rsidR="007A450C" w:rsidRPr="003B73EC" w:rsidRDefault="00583A00" w:rsidP="007A450C">
      <w:pPr>
        <w:jc w:val="both"/>
        <w:rPr>
          <w:rFonts w:ascii="Arial" w:hAnsi="Arial" w:cs="Arial"/>
          <w:lang w:val="sl-SI"/>
        </w:rPr>
      </w:pPr>
      <w:r>
        <w:rPr>
          <w:rFonts w:ascii="Arial" w:hAnsi="Arial" w:cs="Arial"/>
          <w:lang w:val="sl-SI"/>
        </w:rPr>
        <w:t>“Le 40%</w:t>
      </w:r>
      <w:r w:rsidR="007A450C" w:rsidRPr="003B73EC">
        <w:rPr>
          <w:rFonts w:ascii="Arial" w:hAnsi="Arial" w:cs="Arial"/>
          <w:lang w:val="sl-SI"/>
        </w:rPr>
        <w:t xml:space="preserve"> rek, jezer in mokrišč </w:t>
      </w:r>
      <w:r w:rsidR="001A0831">
        <w:rPr>
          <w:rFonts w:ascii="Arial" w:hAnsi="Arial" w:cs="Arial"/>
          <w:lang w:val="sl-SI"/>
        </w:rPr>
        <w:t xml:space="preserve">v Evropi </w:t>
      </w:r>
      <w:r w:rsidR="007A450C" w:rsidRPr="003B73EC">
        <w:rPr>
          <w:rFonts w:ascii="Arial" w:hAnsi="Arial" w:cs="Arial"/>
          <w:lang w:val="sl-SI"/>
        </w:rPr>
        <w:t>je trenu</w:t>
      </w:r>
      <w:r>
        <w:rPr>
          <w:rFonts w:ascii="Arial" w:hAnsi="Arial" w:cs="Arial"/>
          <w:lang w:val="sl-SI"/>
        </w:rPr>
        <w:t>tno v dobrem stanju</w:t>
      </w:r>
      <w:r w:rsidR="007A450C" w:rsidRPr="003B73EC">
        <w:rPr>
          <w:rFonts w:ascii="Arial" w:hAnsi="Arial" w:cs="Arial"/>
          <w:lang w:val="sl-SI"/>
        </w:rPr>
        <w:t xml:space="preserve">, kar je veliko razočaranje in hkrati znak neodgovornega ravnanja držav članic, sploh glede na dejstvo, da najbolj učinkovito orodje za zaščito evropskih voda še vedno ni uporabljeno po vseh zmožnostih” pravi </w:t>
      </w:r>
      <w:r w:rsidR="007A450C" w:rsidRPr="003B73EC">
        <w:rPr>
          <w:rFonts w:ascii="Arial" w:hAnsi="Arial" w:cs="Arial"/>
          <w:b/>
          <w:lang w:val="sl-SI"/>
        </w:rPr>
        <w:t>An</w:t>
      </w:r>
      <w:r w:rsidR="00FD04C9">
        <w:rPr>
          <w:rFonts w:ascii="Arial" w:hAnsi="Arial" w:cs="Arial"/>
          <w:b/>
          <w:lang w:val="sl-SI"/>
        </w:rPr>
        <w:t>dreas Baumüller, Vodja oddelka za nar</w:t>
      </w:r>
      <w:r w:rsidR="00F24324">
        <w:rPr>
          <w:rFonts w:ascii="Arial" w:hAnsi="Arial" w:cs="Arial"/>
          <w:b/>
          <w:lang w:val="sl-SI"/>
        </w:rPr>
        <w:t>a</w:t>
      </w:r>
      <w:r w:rsidR="00FD04C9">
        <w:rPr>
          <w:rFonts w:ascii="Arial" w:hAnsi="Arial" w:cs="Arial"/>
          <w:b/>
          <w:lang w:val="sl-SI"/>
        </w:rPr>
        <w:t>vne vire</w:t>
      </w:r>
      <w:r w:rsidR="007A450C" w:rsidRPr="003B73EC">
        <w:rPr>
          <w:rFonts w:ascii="Arial" w:hAnsi="Arial" w:cs="Arial"/>
          <w:b/>
          <w:lang w:val="sl-SI"/>
        </w:rPr>
        <w:t xml:space="preserve"> </w:t>
      </w:r>
      <w:r w:rsidR="00FD04C9">
        <w:rPr>
          <w:rFonts w:ascii="Arial" w:hAnsi="Arial" w:cs="Arial"/>
          <w:b/>
          <w:lang w:val="sl-SI"/>
        </w:rPr>
        <w:t xml:space="preserve">pri </w:t>
      </w:r>
      <w:r w:rsidR="007A450C" w:rsidRPr="003B73EC">
        <w:rPr>
          <w:rFonts w:ascii="Arial" w:hAnsi="Arial" w:cs="Arial"/>
          <w:b/>
          <w:lang w:val="sl-SI"/>
        </w:rPr>
        <w:t>WWF Evropsk</w:t>
      </w:r>
      <w:r w:rsidR="00FD04C9">
        <w:rPr>
          <w:rFonts w:ascii="Arial" w:hAnsi="Arial" w:cs="Arial"/>
          <w:b/>
          <w:lang w:val="sl-SI"/>
        </w:rPr>
        <w:t>i pisarni</w:t>
      </w:r>
      <w:r w:rsidR="007A450C" w:rsidRPr="003B73EC">
        <w:rPr>
          <w:rFonts w:ascii="Arial" w:hAnsi="Arial" w:cs="Arial"/>
          <w:lang w:val="sl-SI"/>
        </w:rPr>
        <w:t>. “</w:t>
      </w:r>
      <w:r w:rsidR="00FD04C9">
        <w:rPr>
          <w:rFonts w:ascii="Arial" w:hAnsi="Arial" w:cs="Arial"/>
          <w:lang w:val="sl-SI"/>
        </w:rPr>
        <w:t>Š</w:t>
      </w:r>
      <w:r w:rsidR="007A450C" w:rsidRPr="003B73EC">
        <w:rPr>
          <w:rFonts w:ascii="Arial" w:hAnsi="Arial" w:cs="Arial"/>
          <w:lang w:val="sl-SI"/>
        </w:rPr>
        <w:t>tevilne članic</w:t>
      </w:r>
      <w:r w:rsidR="006062A4">
        <w:rPr>
          <w:rFonts w:ascii="Arial" w:hAnsi="Arial" w:cs="Arial"/>
          <w:lang w:val="sl-SI"/>
        </w:rPr>
        <w:t>e iščejo lahek izhod</w:t>
      </w:r>
      <w:r w:rsidR="007A450C" w:rsidRPr="003B73EC">
        <w:rPr>
          <w:rFonts w:ascii="Arial" w:hAnsi="Arial" w:cs="Arial"/>
          <w:lang w:val="sl-SI"/>
        </w:rPr>
        <w:t xml:space="preserve"> in aktivno pritiskajo</w:t>
      </w:r>
      <w:r w:rsidR="006062A4">
        <w:rPr>
          <w:rFonts w:ascii="Arial" w:hAnsi="Arial" w:cs="Arial"/>
          <w:lang w:val="sl-SI"/>
        </w:rPr>
        <w:t>,</w:t>
      </w:r>
      <w:r w:rsidR="007A450C" w:rsidRPr="003B73EC">
        <w:rPr>
          <w:rFonts w:ascii="Arial" w:hAnsi="Arial" w:cs="Arial"/>
          <w:lang w:val="sl-SI"/>
        </w:rPr>
        <w:t xml:space="preserve"> da se v procesu </w:t>
      </w:r>
      <w:r w:rsidR="006062A4">
        <w:rPr>
          <w:rFonts w:ascii="Arial" w:hAnsi="Arial" w:cs="Arial"/>
          <w:lang w:val="sl-SI"/>
        </w:rPr>
        <w:t>preverjanja primernosti</w:t>
      </w:r>
      <w:r w:rsidR="007A450C" w:rsidRPr="003B73EC">
        <w:rPr>
          <w:rFonts w:ascii="Arial" w:hAnsi="Arial" w:cs="Arial"/>
          <w:lang w:val="sl-SI"/>
        </w:rPr>
        <w:t xml:space="preserve"> Okv</w:t>
      </w:r>
      <w:r w:rsidR="006062A4">
        <w:rPr>
          <w:rFonts w:ascii="Arial" w:hAnsi="Arial" w:cs="Arial"/>
          <w:lang w:val="sl-SI"/>
        </w:rPr>
        <w:t>irne direktive o vodah standardi</w:t>
      </w:r>
      <w:r w:rsidR="007A450C" w:rsidRPr="003B73EC">
        <w:rPr>
          <w:rFonts w:ascii="Arial" w:hAnsi="Arial" w:cs="Arial"/>
          <w:lang w:val="sl-SI"/>
        </w:rPr>
        <w:t xml:space="preserve"> občutno zniža</w:t>
      </w:r>
      <w:r w:rsidR="006062A4">
        <w:rPr>
          <w:rFonts w:ascii="Arial" w:hAnsi="Arial" w:cs="Arial"/>
          <w:lang w:val="sl-SI"/>
        </w:rPr>
        <w:t>jo</w:t>
      </w:r>
      <w:r w:rsidR="007A450C" w:rsidRPr="003B73EC">
        <w:rPr>
          <w:rFonts w:ascii="Arial" w:hAnsi="Arial" w:cs="Arial"/>
          <w:lang w:val="sl-SI"/>
        </w:rPr>
        <w:t>. Državljani jih pri tem budno spremljamo. Več kot 300.000 ljudi je že izrazilo podporo</w:t>
      </w:r>
      <w:r w:rsidR="006062A4">
        <w:rPr>
          <w:rFonts w:ascii="Arial" w:hAnsi="Arial" w:cs="Arial"/>
          <w:lang w:val="sl-SI"/>
        </w:rPr>
        <w:t xml:space="preserve"> Okvirni direktivi o vodah s kampanjo</w:t>
      </w:r>
      <w:r w:rsidR="007A450C" w:rsidRPr="003B73EC">
        <w:rPr>
          <w:rFonts w:ascii="Arial" w:hAnsi="Arial" w:cs="Arial"/>
          <w:lang w:val="sl-SI"/>
        </w:rPr>
        <w:t xml:space="preserve"> #ProtectWater. Bodo upoštevali ljudstvo ali nas še naprej ignorirali?”</w:t>
      </w:r>
    </w:p>
    <w:p w14:paraId="3274BF5F" w14:textId="4600279D" w:rsidR="007A450C" w:rsidRPr="003B73EC" w:rsidRDefault="007A450C" w:rsidP="007A450C">
      <w:pPr>
        <w:rPr>
          <w:rFonts w:ascii="Arial" w:hAnsi="Arial" w:cs="Arial"/>
          <w:lang w:val="sl-SI"/>
        </w:rPr>
      </w:pPr>
    </w:p>
    <w:p w14:paraId="50FF32E6" w14:textId="0D9E507F" w:rsidR="007A450C" w:rsidRDefault="007A450C" w:rsidP="007A450C">
      <w:pPr>
        <w:jc w:val="both"/>
        <w:rPr>
          <w:rFonts w:ascii="Arial" w:hAnsi="Arial" w:cs="Arial"/>
          <w:lang w:val="sl-SI"/>
        </w:rPr>
      </w:pPr>
      <w:r w:rsidRPr="003B73EC">
        <w:rPr>
          <w:rFonts w:ascii="Arial" w:hAnsi="Arial" w:cs="Arial"/>
          <w:lang w:val="sl-SI"/>
        </w:rPr>
        <w:t>Za polno implementacijo Okvirne direktive o vodah je potrebna politična</w:t>
      </w:r>
      <w:r w:rsidR="005F0883">
        <w:rPr>
          <w:rFonts w:ascii="Arial" w:hAnsi="Arial" w:cs="Arial"/>
          <w:lang w:val="sl-SI"/>
        </w:rPr>
        <w:t xml:space="preserve"> volja in primerno financiranje. V</w:t>
      </w:r>
      <w:r w:rsidRPr="003B73EC">
        <w:rPr>
          <w:rFonts w:ascii="Arial" w:hAnsi="Arial" w:cs="Arial"/>
          <w:lang w:val="sl-SI"/>
        </w:rPr>
        <w:t>elika večina držav članic še vedno (neprimerno) uporablja izjeme, ki obstajajo znotraj direktive. Približno polovica ev</w:t>
      </w:r>
      <w:r w:rsidR="005F0883">
        <w:rPr>
          <w:rFonts w:ascii="Arial" w:hAnsi="Arial" w:cs="Arial"/>
          <w:lang w:val="sl-SI"/>
        </w:rPr>
        <w:t>ropskih površinskih in podzemnih vodnih teles spada med izjeme</w:t>
      </w:r>
      <w:r w:rsidRPr="003B73EC">
        <w:rPr>
          <w:rFonts w:ascii="Arial" w:hAnsi="Arial" w:cs="Arial"/>
          <w:lang w:val="sl-SI"/>
        </w:rPr>
        <w:t>. Še bolj zaskbljujoče je dejstvo, da so izjeme, ki državam dovoljujejo znižanje standardov za namen gradnje jezov (za potrebe hidroelektrarn, varnost pred popravami in p</w:t>
      </w:r>
      <w:r w:rsidR="005F0883">
        <w:rPr>
          <w:rFonts w:ascii="Arial" w:hAnsi="Arial" w:cs="Arial"/>
          <w:lang w:val="sl-SI"/>
        </w:rPr>
        <w:t>lovbo), uporabljene veliko pogosteje</w:t>
      </w:r>
      <w:r w:rsidRPr="003B73EC">
        <w:rPr>
          <w:rFonts w:ascii="Arial" w:hAnsi="Arial" w:cs="Arial"/>
          <w:lang w:val="sl-SI"/>
        </w:rPr>
        <w:t xml:space="preserve"> kot </w:t>
      </w:r>
      <w:r w:rsidR="005F0883">
        <w:rPr>
          <w:rFonts w:ascii="Arial" w:hAnsi="Arial" w:cs="Arial"/>
          <w:lang w:val="sl-SI"/>
        </w:rPr>
        <w:t>v preteklosti ter brez primernih utemeljitv</w:t>
      </w:r>
      <w:r w:rsidRPr="003B73EC">
        <w:rPr>
          <w:rFonts w:ascii="Arial" w:hAnsi="Arial" w:cs="Arial"/>
          <w:lang w:val="sl-SI"/>
        </w:rPr>
        <w:t>. Komisija izpostavlja šibko financiranje kot razlog za slabo implementacijo.</w:t>
      </w:r>
    </w:p>
    <w:p w14:paraId="722DD3A8" w14:textId="77777777" w:rsidR="00E21CCF" w:rsidRDefault="00E21CCF" w:rsidP="007A450C">
      <w:pPr>
        <w:jc w:val="both"/>
        <w:rPr>
          <w:rFonts w:ascii="Arial" w:hAnsi="Arial" w:cs="Arial"/>
          <w:lang w:val="sl-SI"/>
        </w:rPr>
      </w:pPr>
    </w:p>
    <w:p w14:paraId="3AFD5291" w14:textId="6013C9B3" w:rsidR="004B1045" w:rsidRDefault="004B1045" w:rsidP="007A450C">
      <w:pPr>
        <w:jc w:val="both"/>
        <w:rPr>
          <w:rFonts w:ascii="Arial" w:hAnsi="Arial" w:cs="Arial"/>
          <w:lang w:val="sl-SI"/>
        </w:rPr>
      </w:pPr>
      <w:r>
        <w:rPr>
          <w:rFonts w:ascii="Arial" w:hAnsi="Arial" w:cs="Arial"/>
          <w:lang w:val="sl-SI"/>
        </w:rPr>
        <w:t xml:space="preserve">Slovenijo se glede na ugotovitve na podlagi NUV II spodbuja k nadaljnemu izboljšanju površinskih voda, pri katerem morajo biti zajeti vsi ustrezni elementi kakovosti vode, ter pripravi ocenjevalne metode za vse ustrezne biološke elmenete kakovosti za vse </w:t>
      </w:r>
      <w:r>
        <w:rPr>
          <w:rFonts w:ascii="Arial" w:hAnsi="Arial" w:cs="Arial"/>
          <w:lang w:val="sl-SI"/>
        </w:rPr>
        <w:lastRenderedPageBreak/>
        <w:t xml:space="preserve">vrste voda, jasnemu razlikovanju med določanjem močno preoblikovanih vodni teles in uporabo izjem ter izvajanju ukrepov za obravnavo hidromorfoloških obremenitev. </w:t>
      </w:r>
    </w:p>
    <w:p w14:paraId="6F1D23BB" w14:textId="77777777" w:rsidR="004B1045" w:rsidRPr="003B73EC" w:rsidRDefault="004B1045" w:rsidP="007A450C">
      <w:pPr>
        <w:jc w:val="both"/>
        <w:rPr>
          <w:rFonts w:ascii="Arial" w:hAnsi="Arial" w:cs="Arial"/>
          <w:lang w:val="sl-SI"/>
        </w:rPr>
      </w:pPr>
    </w:p>
    <w:p w14:paraId="303D7B29" w14:textId="57298D39" w:rsidR="007A450C" w:rsidRPr="003B73EC" w:rsidRDefault="007A450C" w:rsidP="007A450C">
      <w:pPr>
        <w:jc w:val="both"/>
        <w:rPr>
          <w:rFonts w:ascii="Arial" w:hAnsi="Arial" w:cs="Arial"/>
          <w:lang w:val="sl-SI"/>
        </w:rPr>
      </w:pPr>
      <w:r w:rsidRPr="003B73EC">
        <w:rPr>
          <w:rFonts w:ascii="Arial" w:hAnsi="Arial" w:cs="Arial"/>
          <w:lang w:val="sl-SI"/>
        </w:rPr>
        <w:t xml:space="preserve">“Naše reke in mokrišča umirajo pred našimi očmi, kar je rezultat onesnaževanja in uničujoče infrastrukture – evropske vlade to mirno spremljajo. To je nesprejemljivo in </w:t>
      </w:r>
      <w:r w:rsidR="00826C6D">
        <w:rPr>
          <w:rFonts w:ascii="Arial" w:hAnsi="Arial" w:cs="Arial"/>
          <w:lang w:val="sl-SI"/>
        </w:rPr>
        <w:t>v nasprotju</w:t>
      </w:r>
      <w:r w:rsidRPr="003B73EC">
        <w:rPr>
          <w:rFonts w:ascii="Arial" w:hAnsi="Arial" w:cs="Arial"/>
          <w:lang w:val="sl-SI"/>
        </w:rPr>
        <w:t xml:space="preserve"> z interesi državljanov, hkrati pa kršni strogo evropsko zakonodajo, ki so jo države članice same razvile in se ji zavezale” pravi </w:t>
      </w:r>
      <w:r w:rsidRPr="003B73EC">
        <w:rPr>
          <w:rFonts w:ascii="Arial" w:hAnsi="Arial" w:cs="Arial"/>
          <w:b/>
          <w:lang w:val="sl-SI"/>
        </w:rPr>
        <w:t xml:space="preserve">Martina Mlinarič, </w:t>
      </w:r>
      <w:r w:rsidR="00826C6D">
        <w:rPr>
          <w:rFonts w:ascii="Arial" w:hAnsi="Arial" w:cs="Arial"/>
          <w:b/>
          <w:lang w:val="sl-SI"/>
        </w:rPr>
        <w:t xml:space="preserve">višji sodelavec </w:t>
      </w:r>
      <w:r w:rsidR="005105ED">
        <w:rPr>
          <w:rFonts w:ascii="Arial" w:hAnsi="Arial" w:cs="Arial"/>
          <w:b/>
          <w:lang w:val="sl-SI"/>
        </w:rPr>
        <w:t xml:space="preserve">za vodne politike </w:t>
      </w:r>
      <w:r w:rsidR="00826C6D">
        <w:rPr>
          <w:rFonts w:ascii="Arial" w:hAnsi="Arial" w:cs="Arial"/>
          <w:b/>
          <w:lang w:val="sl-SI"/>
        </w:rPr>
        <w:t>pri</w:t>
      </w:r>
      <w:r w:rsidR="005105ED">
        <w:rPr>
          <w:rFonts w:ascii="Arial" w:hAnsi="Arial" w:cs="Arial"/>
          <w:b/>
          <w:lang w:val="sl-SI"/>
        </w:rPr>
        <w:t xml:space="preserve"> WWF Evropski pisarni</w:t>
      </w:r>
      <w:r w:rsidRPr="003B73EC">
        <w:rPr>
          <w:rFonts w:ascii="Arial" w:hAnsi="Arial" w:cs="Arial"/>
          <w:b/>
          <w:lang w:val="sl-SI"/>
        </w:rPr>
        <w:t xml:space="preserve">. </w:t>
      </w:r>
      <w:r w:rsidRPr="003B73EC">
        <w:rPr>
          <w:rFonts w:ascii="Arial" w:hAnsi="Arial" w:cs="Arial"/>
          <w:lang w:val="sl-SI"/>
        </w:rPr>
        <w:t xml:space="preserve">“Iz poročila Komisije je tudi vidno, da so načrti za zaščito in obnovo sladkovodnih sistemov popolnoma neabiciozni, kar </w:t>
      </w:r>
      <w:r w:rsidR="00826C6D">
        <w:rPr>
          <w:rFonts w:ascii="Arial" w:hAnsi="Arial" w:cs="Arial"/>
          <w:lang w:val="sl-SI"/>
        </w:rPr>
        <w:t>pomeni,</w:t>
      </w:r>
      <w:r w:rsidRPr="003B73EC">
        <w:rPr>
          <w:rFonts w:ascii="Arial" w:hAnsi="Arial" w:cs="Arial"/>
          <w:lang w:val="sl-SI"/>
        </w:rPr>
        <w:t xml:space="preserve"> da nimajo članice nobene želje, kaj šele namena, da se lotijo grozljivega stanja evropskih voda”.</w:t>
      </w:r>
    </w:p>
    <w:p w14:paraId="486DFE49" w14:textId="77777777" w:rsidR="007A450C" w:rsidRPr="003B73EC" w:rsidRDefault="007A450C" w:rsidP="00B15AA5">
      <w:pPr>
        <w:pStyle w:val="Navadensplet"/>
        <w:shd w:val="clear" w:color="auto" w:fill="FFFFFF"/>
        <w:jc w:val="center"/>
        <w:rPr>
          <w:rFonts w:ascii="Arial" w:hAnsi="Arial" w:cs="Arial"/>
          <w:b/>
          <w:sz w:val="20"/>
          <w:szCs w:val="22"/>
          <w:lang w:val="sl-SI"/>
        </w:rPr>
      </w:pPr>
    </w:p>
    <w:p w14:paraId="0D9242A2" w14:textId="77777777" w:rsidR="007A450C" w:rsidRPr="003B73EC" w:rsidRDefault="007A450C" w:rsidP="00B15AA5">
      <w:pPr>
        <w:pStyle w:val="Navadensplet"/>
        <w:shd w:val="clear" w:color="auto" w:fill="FFFFFF"/>
        <w:jc w:val="center"/>
        <w:rPr>
          <w:rFonts w:ascii="Arial" w:hAnsi="Arial" w:cs="Arial"/>
          <w:b/>
          <w:sz w:val="20"/>
          <w:szCs w:val="22"/>
          <w:lang w:val="sl-SI"/>
        </w:rPr>
      </w:pPr>
    </w:p>
    <w:p w14:paraId="431F9BBD" w14:textId="3EC102B9" w:rsidR="00B15AA5" w:rsidRPr="003B73EC" w:rsidRDefault="005F755C" w:rsidP="00B15AA5">
      <w:pPr>
        <w:pStyle w:val="Navadensplet"/>
        <w:shd w:val="clear" w:color="auto" w:fill="FFFFFF"/>
        <w:jc w:val="center"/>
        <w:rPr>
          <w:rFonts w:ascii="Arial" w:hAnsi="Arial" w:cs="Arial"/>
          <w:b/>
          <w:sz w:val="20"/>
          <w:szCs w:val="22"/>
          <w:lang w:val="sl-SI"/>
        </w:rPr>
      </w:pPr>
      <w:r w:rsidRPr="003B73EC">
        <w:rPr>
          <w:rFonts w:ascii="Arial" w:hAnsi="Arial" w:cs="Arial"/>
          <w:b/>
          <w:sz w:val="20"/>
          <w:szCs w:val="22"/>
          <w:lang w:val="sl-SI"/>
        </w:rPr>
        <w:t>--KONEC--</w:t>
      </w:r>
    </w:p>
    <w:p w14:paraId="2EA66DF0" w14:textId="77777777" w:rsidR="00B15AA5" w:rsidRPr="003B73EC" w:rsidRDefault="00B15AA5" w:rsidP="00B15AA5">
      <w:pPr>
        <w:pStyle w:val="Navadensplet"/>
        <w:shd w:val="clear" w:color="auto" w:fill="FFFFFF"/>
        <w:rPr>
          <w:rFonts w:ascii="Arial" w:hAnsi="Arial" w:cs="Arial"/>
          <w:b/>
          <w:sz w:val="20"/>
          <w:szCs w:val="22"/>
          <w:lang w:val="sl-SI"/>
        </w:rPr>
      </w:pPr>
    </w:p>
    <w:p w14:paraId="41D46694" w14:textId="503E32A6" w:rsidR="00B15AA5" w:rsidRPr="003B73EC" w:rsidRDefault="00B15AA5" w:rsidP="00B15AA5">
      <w:pPr>
        <w:rPr>
          <w:rFonts w:ascii="Arial" w:hAnsi="Arial" w:cs="Arial"/>
          <w:b/>
          <w:sz w:val="20"/>
          <w:lang w:val="sl-SI"/>
        </w:rPr>
      </w:pPr>
      <w:r w:rsidRPr="003B73EC">
        <w:rPr>
          <w:rFonts w:ascii="Arial" w:hAnsi="Arial" w:cs="Arial"/>
          <w:b/>
          <w:sz w:val="20"/>
          <w:lang w:val="sl-SI"/>
        </w:rPr>
        <w:t>Za več informacij:</w:t>
      </w:r>
    </w:p>
    <w:p w14:paraId="4574F066" w14:textId="3D8CAC08" w:rsidR="00B15AA5" w:rsidRDefault="00574A97" w:rsidP="00B15AA5">
      <w:pPr>
        <w:rPr>
          <w:rFonts w:ascii="Arial" w:hAnsi="Arial" w:cs="Arial"/>
          <w:sz w:val="20"/>
          <w:lang w:val="sl-SI"/>
        </w:rPr>
      </w:pPr>
      <w:r w:rsidRPr="00D00645">
        <w:rPr>
          <w:rFonts w:ascii="Arial" w:hAnsi="Arial" w:cs="Arial"/>
          <w:b/>
          <w:sz w:val="20"/>
          <w:lang w:val="sl-SI"/>
        </w:rPr>
        <w:t>Katarina Mulec</w:t>
      </w:r>
      <w:r w:rsidRPr="003B73EC">
        <w:rPr>
          <w:rFonts w:ascii="Arial" w:hAnsi="Arial" w:cs="Arial"/>
          <w:sz w:val="20"/>
          <w:lang w:val="sl-SI"/>
        </w:rPr>
        <w:t xml:space="preserve">, WWF Adria, </w:t>
      </w:r>
      <w:hyperlink r:id="rId7" w:history="1">
        <w:r w:rsidRPr="003B73EC">
          <w:rPr>
            <w:rStyle w:val="Hiperpovezava"/>
            <w:rFonts w:ascii="Arial" w:hAnsi="Arial" w:cs="Arial"/>
            <w:color w:val="auto"/>
            <w:sz w:val="20"/>
            <w:lang w:val="sl-SI"/>
          </w:rPr>
          <w:t>kmulec@wwfadria.org</w:t>
        </w:r>
      </w:hyperlink>
      <w:r w:rsidRPr="003B73EC">
        <w:rPr>
          <w:rFonts w:ascii="Arial" w:hAnsi="Arial" w:cs="Arial"/>
          <w:sz w:val="20"/>
          <w:lang w:val="sl-SI"/>
        </w:rPr>
        <w:t>, +386 31 277 239</w:t>
      </w:r>
    </w:p>
    <w:p w14:paraId="27CEA03B" w14:textId="77777777" w:rsidR="00826C6D" w:rsidRDefault="00826C6D" w:rsidP="00B15AA5">
      <w:pPr>
        <w:rPr>
          <w:rFonts w:ascii="Arial" w:hAnsi="Arial" w:cs="Arial"/>
          <w:sz w:val="20"/>
          <w:lang w:val="sl-SI"/>
        </w:rPr>
      </w:pPr>
    </w:p>
    <w:p w14:paraId="3CE5B2A1" w14:textId="24815D8E" w:rsidR="00826C6D" w:rsidRDefault="00826C6D" w:rsidP="00B15AA5">
      <w:pPr>
        <w:rPr>
          <w:rFonts w:ascii="Arial" w:hAnsi="Arial" w:cs="Arial"/>
          <w:sz w:val="20"/>
          <w:lang w:val="sl-SI"/>
        </w:rPr>
      </w:pPr>
      <w:r>
        <w:rPr>
          <w:rFonts w:ascii="Arial" w:hAnsi="Arial" w:cs="Arial"/>
          <w:sz w:val="20"/>
          <w:lang w:val="sl-SI"/>
        </w:rPr>
        <w:t>Opombe uredniku:</w:t>
      </w:r>
    </w:p>
    <w:p w14:paraId="530290FF" w14:textId="4EBAE1B9" w:rsidR="00826C6D" w:rsidRPr="003B73EC" w:rsidRDefault="00826C6D" w:rsidP="00B15AA5">
      <w:pPr>
        <w:rPr>
          <w:rFonts w:ascii="Arial" w:hAnsi="Arial" w:cs="Arial"/>
          <w:sz w:val="20"/>
          <w:lang w:val="sl-SI"/>
        </w:rPr>
      </w:pPr>
      <w:r>
        <w:rPr>
          <w:rFonts w:ascii="Arial" w:hAnsi="Arial" w:cs="Arial"/>
          <w:sz w:val="20"/>
          <w:lang w:val="sl-SI"/>
        </w:rPr>
        <w:t xml:space="preserve">Vsa pororčila, vključno s celotnim prorčilom in stanjem v posamezni državi članici je dostopno na: </w:t>
      </w:r>
      <w:hyperlink r:id="rId8" w:history="1">
        <w:r w:rsidRPr="00DB361A">
          <w:rPr>
            <w:rStyle w:val="Hiperpovezava"/>
            <w:rFonts w:ascii="Arial" w:hAnsi="Arial" w:cs="Arial"/>
            <w:sz w:val="20"/>
            <w:lang w:val="sl-SI"/>
          </w:rPr>
          <w:t>http://ec.europa.eu/environment/water/water-framework/impl_reports.htm</w:t>
        </w:r>
      </w:hyperlink>
      <w:r>
        <w:rPr>
          <w:rFonts w:ascii="Arial" w:hAnsi="Arial" w:cs="Arial"/>
          <w:sz w:val="20"/>
          <w:lang w:val="sl-SI"/>
        </w:rPr>
        <w:t xml:space="preserve"> </w:t>
      </w:r>
    </w:p>
    <w:p w14:paraId="40E879AE" w14:textId="3190CEA5" w:rsidR="003B73EC" w:rsidRPr="003B73EC" w:rsidRDefault="003B73EC" w:rsidP="00B15AA5">
      <w:pPr>
        <w:rPr>
          <w:rStyle w:val="Hiperpovezava"/>
          <w:rFonts w:ascii="Arial" w:hAnsi="Arial" w:cs="Arial"/>
          <w:color w:val="auto"/>
          <w:sz w:val="20"/>
          <w:lang w:val="sl-SI"/>
        </w:rPr>
      </w:pPr>
    </w:p>
    <w:p w14:paraId="151DA957" w14:textId="2E449A77" w:rsidR="003B73EC" w:rsidRDefault="003B73EC" w:rsidP="003B73EC">
      <w:pPr>
        <w:jc w:val="both"/>
        <w:rPr>
          <w:rFonts w:ascii="Arial" w:hAnsi="Arial" w:cs="Arial"/>
          <w:b/>
          <w:sz w:val="21"/>
          <w:lang w:val="sl-SI"/>
        </w:rPr>
      </w:pPr>
      <w:r w:rsidRPr="003B73EC">
        <w:rPr>
          <w:rFonts w:ascii="Arial" w:hAnsi="Arial" w:cs="Arial"/>
          <w:b/>
          <w:sz w:val="21"/>
          <w:lang w:val="sl-SI"/>
        </w:rPr>
        <w:t xml:space="preserve">O nacionalnih </w:t>
      </w:r>
      <w:r w:rsidR="001A0831">
        <w:rPr>
          <w:rFonts w:ascii="Arial" w:hAnsi="Arial" w:cs="Arial"/>
          <w:b/>
          <w:sz w:val="21"/>
          <w:lang w:val="sl-SI"/>
        </w:rPr>
        <w:t>načrtih za upravljanje z vodami</w:t>
      </w:r>
      <w:r w:rsidRPr="003B73EC">
        <w:rPr>
          <w:rFonts w:ascii="Arial" w:hAnsi="Arial" w:cs="Arial"/>
          <w:b/>
          <w:sz w:val="21"/>
          <w:lang w:val="sl-SI"/>
        </w:rPr>
        <w:t xml:space="preserve"> in EU oceno:</w:t>
      </w:r>
    </w:p>
    <w:p w14:paraId="18E68D84" w14:textId="77777777" w:rsidR="00D00645" w:rsidRPr="003B73EC" w:rsidRDefault="00D00645" w:rsidP="003B73EC">
      <w:pPr>
        <w:jc w:val="both"/>
        <w:rPr>
          <w:rFonts w:ascii="Arial" w:hAnsi="Arial" w:cs="Arial"/>
          <w:b/>
          <w:sz w:val="21"/>
          <w:lang w:val="sl-SI"/>
        </w:rPr>
      </w:pPr>
    </w:p>
    <w:p w14:paraId="2DF631BE" w14:textId="0F7AB5ED" w:rsidR="003B73EC" w:rsidRPr="003B73EC" w:rsidRDefault="001A0831" w:rsidP="003B73EC">
      <w:pPr>
        <w:numPr>
          <w:ilvl w:val="0"/>
          <w:numId w:val="1"/>
        </w:numPr>
        <w:spacing w:line="276" w:lineRule="auto"/>
        <w:jc w:val="both"/>
        <w:rPr>
          <w:rFonts w:ascii="Arial" w:hAnsi="Arial" w:cs="Arial"/>
          <w:sz w:val="21"/>
          <w:lang w:val="sl-SI"/>
        </w:rPr>
      </w:pPr>
      <w:r>
        <w:rPr>
          <w:rFonts w:ascii="Arial" w:hAnsi="Arial" w:cs="Arial"/>
          <w:sz w:val="21"/>
          <w:lang w:val="sl-SI"/>
        </w:rPr>
        <w:t>Načrt za upravljanje z vodami</w:t>
      </w:r>
      <w:r w:rsidR="003B73EC" w:rsidRPr="003B73EC">
        <w:rPr>
          <w:rFonts w:ascii="Arial" w:hAnsi="Arial" w:cs="Arial"/>
          <w:sz w:val="21"/>
          <w:lang w:val="sl-SI"/>
        </w:rPr>
        <w:t xml:space="preserve"> je zahtevan znotraj EU Okvirne direktive o vodah (ODV).</w:t>
      </w:r>
    </w:p>
    <w:p w14:paraId="58DF1645" w14:textId="10A682C4" w:rsidR="003B73EC" w:rsidRPr="003B73EC" w:rsidRDefault="001A0831" w:rsidP="003B73EC">
      <w:pPr>
        <w:numPr>
          <w:ilvl w:val="0"/>
          <w:numId w:val="1"/>
        </w:numPr>
        <w:spacing w:line="276" w:lineRule="auto"/>
        <w:jc w:val="both"/>
        <w:rPr>
          <w:rFonts w:ascii="Arial" w:hAnsi="Arial" w:cs="Arial"/>
          <w:sz w:val="21"/>
          <w:lang w:val="sl-SI"/>
        </w:rPr>
      </w:pPr>
      <w:r>
        <w:rPr>
          <w:rFonts w:ascii="Arial" w:hAnsi="Arial" w:cs="Arial"/>
          <w:sz w:val="21"/>
          <w:lang w:val="sl-SI"/>
        </w:rPr>
        <w:t>Ocena Evropske Komisije,</w:t>
      </w:r>
      <w:r w:rsidR="003B73EC" w:rsidRPr="003B73EC">
        <w:rPr>
          <w:rFonts w:ascii="Arial" w:hAnsi="Arial" w:cs="Arial"/>
          <w:sz w:val="21"/>
          <w:lang w:val="sl-SI"/>
        </w:rPr>
        <w:t xml:space="preserve"> temelji na drugem ciklu nacionalnih načrtov in pokriva obdobje od leta 2015-2021.</w:t>
      </w:r>
    </w:p>
    <w:p w14:paraId="01664384" w14:textId="77777777" w:rsidR="003B73EC" w:rsidRPr="003B73EC" w:rsidRDefault="003B73EC" w:rsidP="003B73EC">
      <w:pPr>
        <w:numPr>
          <w:ilvl w:val="0"/>
          <w:numId w:val="1"/>
        </w:numPr>
        <w:spacing w:line="276" w:lineRule="auto"/>
        <w:jc w:val="both"/>
        <w:rPr>
          <w:rFonts w:ascii="Arial" w:hAnsi="Arial" w:cs="Arial"/>
          <w:sz w:val="21"/>
          <w:lang w:val="sl-SI"/>
        </w:rPr>
      </w:pPr>
      <w:r w:rsidRPr="003B73EC">
        <w:rPr>
          <w:rFonts w:ascii="Arial" w:hAnsi="Arial" w:cs="Arial"/>
          <w:sz w:val="21"/>
          <w:lang w:val="sl-SI"/>
        </w:rPr>
        <w:t xml:space="preserve">Ocena pokriva več kot 111.000 površinskih vodnih teles in 13.000 podtalnih. Prav tako vključuje mednarodna povodja kot sta Donava in Ren. </w:t>
      </w:r>
    </w:p>
    <w:p w14:paraId="4B38C863" w14:textId="77777777" w:rsidR="003B73EC" w:rsidRPr="003B73EC" w:rsidRDefault="003B73EC" w:rsidP="003B73EC">
      <w:pPr>
        <w:numPr>
          <w:ilvl w:val="0"/>
          <w:numId w:val="1"/>
        </w:numPr>
        <w:spacing w:line="276" w:lineRule="auto"/>
        <w:jc w:val="both"/>
        <w:rPr>
          <w:rFonts w:ascii="Arial" w:hAnsi="Arial" w:cs="Arial"/>
          <w:sz w:val="21"/>
          <w:lang w:val="sl-SI"/>
        </w:rPr>
      </w:pPr>
      <w:r w:rsidRPr="003B73EC">
        <w:rPr>
          <w:rFonts w:ascii="Arial" w:hAnsi="Arial" w:cs="Arial"/>
          <w:sz w:val="21"/>
          <w:lang w:val="sl-SI"/>
        </w:rPr>
        <w:t>Kljub napredku v implemetaciji ODV na določenih področjih – monitoring, znanje o stanju sladkovodnih sistemov in razumevanje vplivov, ki bi onemogočili doseganje ciljev ODV – je jasno vidno pomanjkanje ambicij in politične volje držav članic za doseganje ciljev.</w:t>
      </w:r>
    </w:p>
    <w:p w14:paraId="5C6C68F6" w14:textId="77777777" w:rsidR="003B73EC" w:rsidRPr="003B73EC" w:rsidRDefault="003B73EC" w:rsidP="003B73EC">
      <w:pPr>
        <w:jc w:val="both"/>
        <w:rPr>
          <w:rFonts w:ascii="Arial" w:hAnsi="Arial" w:cs="Arial"/>
          <w:sz w:val="21"/>
          <w:lang w:val="sl-SI"/>
        </w:rPr>
      </w:pPr>
    </w:p>
    <w:p w14:paraId="4603995B" w14:textId="5FCFC2F7" w:rsidR="003B73EC" w:rsidRDefault="003B73EC" w:rsidP="003B73EC">
      <w:pPr>
        <w:jc w:val="both"/>
        <w:rPr>
          <w:rFonts w:ascii="Arial" w:hAnsi="Arial" w:cs="Arial"/>
          <w:b/>
          <w:sz w:val="21"/>
          <w:lang w:val="sl-SI"/>
        </w:rPr>
      </w:pPr>
      <w:r w:rsidRPr="003B73EC">
        <w:rPr>
          <w:rFonts w:ascii="Arial" w:hAnsi="Arial" w:cs="Arial"/>
          <w:b/>
          <w:sz w:val="21"/>
          <w:lang w:val="sl-SI"/>
        </w:rPr>
        <w:t xml:space="preserve">Glavne ugotovitve ocene EU o implementaciji: </w:t>
      </w:r>
    </w:p>
    <w:p w14:paraId="4077588B" w14:textId="77777777" w:rsidR="00D00645" w:rsidRPr="003B73EC" w:rsidRDefault="00D00645" w:rsidP="003B73EC">
      <w:pPr>
        <w:jc w:val="both"/>
        <w:rPr>
          <w:rFonts w:ascii="Arial" w:hAnsi="Arial" w:cs="Arial"/>
          <w:b/>
          <w:sz w:val="21"/>
          <w:lang w:val="sl-SI"/>
        </w:rPr>
      </w:pPr>
    </w:p>
    <w:p w14:paraId="131F18CB" w14:textId="77777777" w:rsidR="003B73EC" w:rsidRPr="003B73EC" w:rsidRDefault="003B73EC" w:rsidP="003B73EC">
      <w:pPr>
        <w:numPr>
          <w:ilvl w:val="0"/>
          <w:numId w:val="2"/>
        </w:numPr>
        <w:spacing w:line="276" w:lineRule="auto"/>
        <w:jc w:val="both"/>
        <w:rPr>
          <w:rFonts w:ascii="Arial" w:hAnsi="Arial" w:cs="Arial"/>
          <w:sz w:val="21"/>
          <w:lang w:val="sl-SI"/>
        </w:rPr>
      </w:pPr>
      <w:r w:rsidRPr="003B73EC">
        <w:rPr>
          <w:rFonts w:ascii="Arial" w:hAnsi="Arial" w:cs="Arial"/>
          <w:sz w:val="21"/>
          <w:lang w:val="sl-SI"/>
        </w:rPr>
        <w:t>Kljub temu, da se je izboljšalo poznavanje stanja voda in vplivov, ki jih potencialno lahko pripeljejo do neizpolnjevanja Okvirne direktive o vodah (ODV), še vedno obstajajo velike vrzeli v implementaciji ODV.</w:t>
      </w:r>
    </w:p>
    <w:p w14:paraId="2B06EA55" w14:textId="7B736802" w:rsidR="003B73EC" w:rsidRPr="003B73EC" w:rsidRDefault="003B73EC" w:rsidP="003B73EC">
      <w:pPr>
        <w:numPr>
          <w:ilvl w:val="0"/>
          <w:numId w:val="2"/>
        </w:numPr>
        <w:spacing w:line="276" w:lineRule="auto"/>
        <w:jc w:val="both"/>
        <w:rPr>
          <w:rFonts w:ascii="Arial" w:hAnsi="Arial" w:cs="Arial"/>
          <w:sz w:val="21"/>
          <w:lang w:val="sl-SI"/>
        </w:rPr>
      </w:pPr>
      <w:r w:rsidRPr="003B73EC">
        <w:rPr>
          <w:rFonts w:ascii="Arial" w:hAnsi="Arial" w:cs="Arial"/>
          <w:sz w:val="21"/>
          <w:lang w:val="sl-SI"/>
        </w:rPr>
        <w:t xml:space="preserve">Države članice morajo </w:t>
      </w:r>
      <w:r w:rsidR="001A0831">
        <w:rPr>
          <w:rFonts w:ascii="Arial" w:hAnsi="Arial" w:cs="Arial"/>
          <w:sz w:val="21"/>
          <w:lang w:val="sl-SI"/>
        </w:rPr>
        <w:t>vplivati</w:t>
      </w:r>
      <w:r w:rsidRPr="003B73EC">
        <w:rPr>
          <w:rFonts w:ascii="Arial" w:hAnsi="Arial" w:cs="Arial"/>
          <w:sz w:val="21"/>
          <w:lang w:val="sl-SI"/>
        </w:rPr>
        <w:t xml:space="preserve"> na ključne sektorje in aktivnosti, </w:t>
      </w:r>
      <w:r w:rsidR="00332A99">
        <w:rPr>
          <w:rFonts w:ascii="Arial" w:hAnsi="Arial" w:cs="Arial"/>
          <w:sz w:val="21"/>
          <w:lang w:val="sl-SI"/>
        </w:rPr>
        <w:t xml:space="preserve">s čimer bi jim pomagali oblikovati bolj usmerjene cilje. </w:t>
      </w:r>
    </w:p>
    <w:p w14:paraId="43587667" w14:textId="2002939C" w:rsidR="003B73EC" w:rsidRPr="003B73EC" w:rsidRDefault="003B73EC" w:rsidP="003B73EC">
      <w:pPr>
        <w:numPr>
          <w:ilvl w:val="0"/>
          <w:numId w:val="2"/>
        </w:numPr>
        <w:spacing w:line="276" w:lineRule="auto"/>
        <w:jc w:val="both"/>
        <w:rPr>
          <w:rFonts w:ascii="Arial" w:hAnsi="Arial" w:cs="Arial"/>
          <w:sz w:val="21"/>
          <w:lang w:val="sl-SI"/>
        </w:rPr>
      </w:pPr>
      <w:r w:rsidRPr="003B73EC">
        <w:rPr>
          <w:rFonts w:ascii="Arial" w:hAnsi="Arial" w:cs="Arial"/>
          <w:sz w:val="21"/>
          <w:lang w:val="sl-SI"/>
        </w:rPr>
        <w:t xml:space="preserve">Napredek </w:t>
      </w:r>
      <w:r w:rsidR="00332A99">
        <w:rPr>
          <w:rFonts w:ascii="Arial" w:hAnsi="Arial" w:cs="Arial"/>
          <w:sz w:val="21"/>
          <w:lang w:val="sl-SI"/>
        </w:rPr>
        <w:t xml:space="preserve">je viden v prepoznavanju razkoraka med dobrim stanjem za vsak večji vpliv in nivojem implementacije ukrepov, ki so potrebni za doseganje dobrega stanja. To naj bi omogočilo boljše prepoznavanje in prioritetizacijo ukrepov. </w:t>
      </w:r>
      <w:r w:rsidRPr="003B73EC">
        <w:rPr>
          <w:rFonts w:ascii="Arial" w:hAnsi="Arial" w:cs="Arial"/>
          <w:sz w:val="21"/>
          <w:lang w:val="sl-SI"/>
        </w:rPr>
        <w:t xml:space="preserve"> </w:t>
      </w:r>
    </w:p>
    <w:p w14:paraId="33C317BF" w14:textId="1825D53D" w:rsidR="003B73EC" w:rsidRPr="003B73EC" w:rsidRDefault="00332A99" w:rsidP="003B73EC">
      <w:pPr>
        <w:numPr>
          <w:ilvl w:val="0"/>
          <w:numId w:val="2"/>
        </w:numPr>
        <w:spacing w:line="276" w:lineRule="auto"/>
        <w:jc w:val="both"/>
        <w:rPr>
          <w:rFonts w:ascii="Arial" w:hAnsi="Arial" w:cs="Arial"/>
          <w:sz w:val="21"/>
          <w:lang w:val="sl-SI"/>
        </w:rPr>
      </w:pPr>
      <w:r>
        <w:rPr>
          <w:rFonts w:ascii="Arial" w:hAnsi="Arial" w:cs="Arial"/>
          <w:sz w:val="21"/>
          <w:lang w:val="sl-SI"/>
        </w:rPr>
        <w:t>Kljub temu načrtovani ukrepi</w:t>
      </w:r>
      <w:r w:rsidR="003B73EC" w:rsidRPr="003B73EC">
        <w:rPr>
          <w:rFonts w:ascii="Arial" w:hAnsi="Arial" w:cs="Arial"/>
          <w:sz w:val="21"/>
          <w:lang w:val="sl-SI"/>
        </w:rPr>
        <w:t xml:space="preserve"> ne dosegajo ciljev ODV, saj </w:t>
      </w:r>
      <w:r>
        <w:rPr>
          <w:rFonts w:ascii="Arial" w:hAnsi="Arial" w:cs="Arial"/>
          <w:sz w:val="21"/>
          <w:lang w:val="sl-SI"/>
        </w:rPr>
        <w:t>se glavnih dejavnikov in pritiskov ni primerno obravnavalo</w:t>
      </w:r>
      <w:r w:rsidR="003B73EC" w:rsidRPr="003B73EC">
        <w:rPr>
          <w:rFonts w:ascii="Arial" w:hAnsi="Arial" w:cs="Arial"/>
          <w:sz w:val="21"/>
          <w:lang w:val="sl-SI"/>
        </w:rPr>
        <w:t>. V primeru razpr</w:t>
      </w:r>
      <w:r w:rsidR="00FD04C9">
        <w:rPr>
          <w:rFonts w:ascii="Arial" w:hAnsi="Arial" w:cs="Arial"/>
          <w:sz w:val="21"/>
          <w:lang w:val="sl-SI"/>
        </w:rPr>
        <w:t>šenega onesnaževanja s hranili in pesticidi v povodjih članice niso izvedle niti osnovnih ukrepov. Načrtovani</w:t>
      </w:r>
      <w:r w:rsidR="003B73EC" w:rsidRPr="003B73EC">
        <w:rPr>
          <w:rFonts w:ascii="Arial" w:hAnsi="Arial" w:cs="Arial"/>
          <w:sz w:val="21"/>
          <w:lang w:val="sl-SI"/>
        </w:rPr>
        <w:t xml:space="preserve"> nadomestni ukrepi so pogosto prostovoljni. Že v prvem ciklu smo videli, da takšno (ne)ukrepanje ne bo prineslo rezultatov in doseglo ciljev ODV.</w:t>
      </w:r>
    </w:p>
    <w:p w14:paraId="5E72DB6B" w14:textId="4C2C0D22" w:rsidR="003B73EC" w:rsidRPr="003B73EC" w:rsidRDefault="003B73EC" w:rsidP="003B73EC">
      <w:pPr>
        <w:numPr>
          <w:ilvl w:val="0"/>
          <w:numId w:val="2"/>
        </w:numPr>
        <w:spacing w:line="276" w:lineRule="auto"/>
        <w:jc w:val="both"/>
        <w:rPr>
          <w:rFonts w:ascii="Arial" w:hAnsi="Arial" w:cs="Arial"/>
          <w:sz w:val="21"/>
          <w:lang w:val="sl-SI"/>
        </w:rPr>
      </w:pPr>
      <w:r w:rsidRPr="003B73EC">
        <w:rPr>
          <w:rFonts w:ascii="Arial" w:hAnsi="Arial" w:cs="Arial"/>
          <w:sz w:val="21"/>
          <w:lang w:val="sl-SI"/>
        </w:rPr>
        <w:lastRenderedPageBreak/>
        <w:t>Podobno je pričakovan majhen ali ničeln napredek glede vplivov na spremen</w:t>
      </w:r>
      <w:r w:rsidR="00826C6D">
        <w:rPr>
          <w:rFonts w:ascii="Arial" w:hAnsi="Arial" w:cs="Arial"/>
          <w:sz w:val="21"/>
          <w:lang w:val="sl-SI"/>
        </w:rPr>
        <w:t>jen režim naravnega tokakot posledico</w:t>
      </w:r>
      <w:r w:rsidRPr="003B73EC">
        <w:rPr>
          <w:rFonts w:ascii="Arial" w:hAnsi="Arial" w:cs="Arial"/>
          <w:sz w:val="21"/>
          <w:lang w:val="sl-SI"/>
        </w:rPr>
        <w:t xml:space="preserve"> veliki</w:t>
      </w:r>
      <w:r w:rsidR="00826C6D">
        <w:rPr>
          <w:rFonts w:ascii="Arial" w:hAnsi="Arial" w:cs="Arial"/>
          <w:sz w:val="21"/>
          <w:lang w:val="sl-SI"/>
        </w:rPr>
        <w:t>h posegov</w:t>
      </w:r>
      <w:r w:rsidRPr="003B73EC">
        <w:rPr>
          <w:rFonts w:ascii="Arial" w:hAnsi="Arial" w:cs="Arial"/>
          <w:sz w:val="21"/>
          <w:lang w:val="sl-SI"/>
        </w:rPr>
        <w:t xml:space="preserve"> kot so odvzem</w:t>
      </w:r>
      <w:r w:rsidR="00826C6D">
        <w:rPr>
          <w:rFonts w:ascii="Arial" w:hAnsi="Arial" w:cs="Arial"/>
          <w:sz w:val="21"/>
          <w:lang w:val="sl-SI"/>
        </w:rPr>
        <w:t>i</w:t>
      </w:r>
      <w:r w:rsidRPr="003B73EC">
        <w:rPr>
          <w:rFonts w:ascii="Arial" w:hAnsi="Arial" w:cs="Arial"/>
          <w:sz w:val="21"/>
          <w:lang w:val="sl-SI"/>
        </w:rPr>
        <w:t xml:space="preserve"> vode, jezovi, zapornice, </w:t>
      </w:r>
      <w:r w:rsidR="00826C6D">
        <w:rPr>
          <w:rFonts w:ascii="Arial" w:hAnsi="Arial" w:cs="Arial"/>
          <w:sz w:val="21"/>
          <w:lang w:val="sl-SI"/>
        </w:rPr>
        <w:t>u</w:t>
      </w:r>
      <w:r w:rsidRPr="003B73EC">
        <w:rPr>
          <w:rFonts w:ascii="Arial" w:hAnsi="Arial" w:cs="Arial"/>
          <w:sz w:val="21"/>
          <w:lang w:val="sl-SI"/>
        </w:rPr>
        <w:t>ravnanje toka in preusmeritev v</w:t>
      </w:r>
      <w:r w:rsidR="00826C6D">
        <w:rPr>
          <w:rFonts w:ascii="Arial" w:hAnsi="Arial" w:cs="Arial"/>
          <w:sz w:val="21"/>
          <w:lang w:val="sl-SI"/>
        </w:rPr>
        <w:t xml:space="preserve"> kanale</w:t>
      </w:r>
      <w:r w:rsidRPr="003B73EC">
        <w:rPr>
          <w:rFonts w:ascii="Arial" w:hAnsi="Arial" w:cs="Arial"/>
          <w:sz w:val="21"/>
          <w:lang w:val="sl-SI"/>
        </w:rPr>
        <w:t>.</w:t>
      </w:r>
    </w:p>
    <w:p w14:paraId="77587A53" w14:textId="584907B2" w:rsidR="003B73EC" w:rsidRPr="003B73EC" w:rsidRDefault="003B73EC" w:rsidP="003B73EC">
      <w:pPr>
        <w:numPr>
          <w:ilvl w:val="0"/>
          <w:numId w:val="2"/>
        </w:numPr>
        <w:spacing w:line="276" w:lineRule="auto"/>
        <w:jc w:val="both"/>
        <w:rPr>
          <w:rFonts w:ascii="Arial" w:hAnsi="Arial" w:cs="Arial"/>
          <w:sz w:val="21"/>
          <w:lang w:val="sl-SI"/>
        </w:rPr>
      </w:pPr>
      <w:r w:rsidRPr="003B73EC">
        <w:rPr>
          <w:rFonts w:ascii="Arial" w:hAnsi="Arial" w:cs="Arial"/>
          <w:sz w:val="21"/>
          <w:lang w:val="sl-SI"/>
        </w:rPr>
        <w:t>Poročilo Evropske Komisije izpostavlja pomanjkanje primernega financiranja za implemetacijo kontrolnih ukrepov. Hkrati prikazuje, da orodje ODV za spodbude pri določanju cen in primerno kritje stroškov ni uporabljen (to bi zagotovilo</w:t>
      </w:r>
      <w:r>
        <w:rPr>
          <w:rFonts w:ascii="Arial" w:hAnsi="Arial" w:cs="Arial"/>
          <w:sz w:val="21"/>
          <w:lang w:val="sl-SI"/>
        </w:rPr>
        <w:t>,</w:t>
      </w:r>
      <w:r w:rsidRPr="003B73EC">
        <w:rPr>
          <w:rFonts w:ascii="Arial" w:hAnsi="Arial" w:cs="Arial"/>
          <w:sz w:val="21"/>
          <w:lang w:val="sl-SI"/>
        </w:rPr>
        <w:t xml:space="preserve"> da veliki p</w:t>
      </w:r>
      <w:r w:rsidR="006F6F37">
        <w:rPr>
          <w:rFonts w:ascii="Arial" w:hAnsi="Arial" w:cs="Arial"/>
          <w:sz w:val="21"/>
          <w:lang w:val="sl-SI"/>
        </w:rPr>
        <w:t xml:space="preserve">orabniki vode, kot so energetika, transport in kmetijstvo </w:t>
      </w:r>
      <w:r w:rsidRPr="003B73EC">
        <w:rPr>
          <w:rFonts w:ascii="Arial" w:hAnsi="Arial" w:cs="Arial"/>
          <w:sz w:val="21"/>
          <w:lang w:val="sl-SI"/>
        </w:rPr>
        <w:t>primerno prispeva</w:t>
      </w:r>
      <w:r>
        <w:rPr>
          <w:rFonts w:ascii="Arial" w:hAnsi="Arial" w:cs="Arial"/>
          <w:sz w:val="21"/>
          <w:lang w:val="sl-SI"/>
        </w:rPr>
        <w:t>jo</w:t>
      </w:r>
      <w:r w:rsidRPr="003B73EC">
        <w:rPr>
          <w:rFonts w:ascii="Arial" w:hAnsi="Arial" w:cs="Arial"/>
          <w:sz w:val="21"/>
          <w:lang w:val="sl-SI"/>
        </w:rPr>
        <w:t xml:space="preserve"> k finančnim in okoljskim s</w:t>
      </w:r>
      <w:r w:rsidR="006F6F37">
        <w:rPr>
          <w:rFonts w:ascii="Arial" w:hAnsi="Arial" w:cs="Arial"/>
          <w:sz w:val="21"/>
          <w:lang w:val="sl-SI"/>
        </w:rPr>
        <w:t>troškom za vodo, ki jo odvzamejo</w:t>
      </w:r>
      <w:r w:rsidRPr="003B73EC">
        <w:rPr>
          <w:rFonts w:ascii="Arial" w:hAnsi="Arial" w:cs="Arial"/>
          <w:sz w:val="21"/>
          <w:lang w:val="sl-SI"/>
        </w:rPr>
        <w:t>).</w:t>
      </w:r>
    </w:p>
    <w:p w14:paraId="1859B5EB" w14:textId="49D5FF90" w:rsidR="003B73EC" w:rsidRPr="003B73EC" w:rsidRDefault="003B73EC" w:rsidP="003B73EC">
      <w:pPr>
        <w:numPr>
          <w:ilvl w:val="0"/>
          <w:numId w:val="2"/>
        </w:numPr>
        <w:spacing w:line="276" w:lineRule="auto"/>
        <w:jc w:val="both"/>
        <w:rPr>
          <w:rFonts w:ascii="Arial" w:hAnsi="Arial" w:cs="Arial"/>
          <w:sz w:val="21"/>
          <w:lang w:val="sl-SI"/>
        </w:rPr>
      </w:pPr>
      <w:r w:rsidRPr="003B73EC">
        <w:rPr>
          <w:rFonts w:ascii="Arial" w:hAnsi="Arial" w:cs="Arial"/>
          <w:sz w:val="21"/>
          <w:lang w:val="sl-SI"/>
        </w:rPr>
        <w:t>Dosežene so bile omejene spremembe na področju določanja cene vode</w:t>
      </w:r>
      <w:r w:rsidR="006F6F37">
        <w:rPr>
          <w:rFonts w:ascii="Arial" w:hAnsi="Arial" w:cs="Arial"/>
          <w:sz w:val="21"/>
          <w:lang w:val="sl-SI"/>
        </w:rPr>
        <w:t xml:space="preserve"> za implementacijo</w:t>
      </w:r>
      <w:r w:rsidRPr="003B73EC">
        <w:rPr>
          <w:rFonts w:ascii="Arial" w:hAnsi="Arial" w:cs="Arial"/>
          <w:sz w:val="21"/>
          <w:lang w:val="sl-SI"/>
        </w:rPr>
        <w:t xml:space="preserve"> določbe 9. </w:t>
      </w:r>
      <w:r>
        <w:rPr>
          <w:rFonts w:ascii="Arial" w:hAnsi="Arial" w:cs="Arial"/>
          <w:sz w:val="21"/>
          <w:lang w:val="sl-SI"/>
        </w:rPr>
        <w:t>č</w:t>
      </w:r>
      <w:r w:rsidRPr="003B73EC">
        <w:rPr>
          <w:rFonts w:ascii="Arial" w:hAnsi="Arial" w:cs="Arial"/>
          <w:sz w:val="21"/>
          <w:lang w:val="sl-SI"/>
        </w:rPr>
        <w:t>lena ODV.</w:t>
      </w:r>
    </w:p>
    <w:p w14:paraId="44A4C446" w14:textId="56F54E9D" w:rsidR="003B73EC" w:rsidRDefault="003B73EC" w:rsidP="003B73EC">
      <w:pPr>
        <w:numPr>
          <w:ilvl w:val="0"/>
          <w:numId w:val="2"/>
        </w:numPr>
        <w:spacing w:line="276" w:lineRule="auto"/>
        <w:jc w:val="both"/>
        <w:rPr>
          <w:rFonts w:ascii="Arial" w:hAnsi="Arial" w:cs="Arial"/>
          <w:sz w:val="21"/>
          <w:lang w:val="sl-SI"/>
        </w:rPr>
      </w:pPr>
      <w:r w:rsidRPr="003B73EC">
        <w:rPr>
          <w:rFonts w:ascii="Arial" w:hAnsi="Arial" w:cs="Arial"/>
          <w:sz w:val="21"/>
          <w:lang w:val="sl-SI"/>
        </w:rPr>
        <w:t>Številne dovoljene izjeme so še vedno prepogosto uporabljene, saj je trenutno kar polo</w:t>
      </w:r>
      <w:r w:rsidR="006F6F37">
        <w:rPr>
          <w:rFonts w:ascii="Arial" w:hAnsi="Arial" w:cs="Arial"/>
          <w:sz w:val="21"/>
          <w:lang w:val="sl-SI"/>
        </w:rPr>
        <w:t>vica evropskih podzemnih</w:t>
      </w:r>
      <w:r w:rsidRPr="003B73EC">
        <w:rPr>
          <w:rFonts w:ascii="Arial" w:hAnsi="Arial" w:cs="Arial"/>
          <w:sz w:val="21"/>
          <w:lang w:val="sl-SI"/>
        </w:rPr>
        <w:t xml:space="preserve"> in površinskih voda </w:t>
      </w:r>
      <w:r w:rsidR="006F6F37">
        <w:rPr>
          <w:rFonts w:ascii="Arial" w:hAnsi="Arial" w:cs="Arial"/>
          <w:sz w:val="21"/>
          <w:lang w:val="sl-SI"/>
        </w:rPr>
        <w:t>v tej kategoriji</w:t>
      </w:r>
      <w:r w:rsidRPr="003B73EC">
        <w:rPr>
          <w:rFonts w:ascii="Arial" w:hAnsi="Arial" w:cs="Arial"/>
          <w:sz w:val="21"/>
          <w:lang w:val="sl-SI"/>
        </w:rPr>
        <w:t>. Še bolj zaskrbljujoče je, da so bile v tem ciklu določene izjeme – npr</w:t>
      </w:r>
      <w:r w:rsidR="006F6F37">
        <w:rPr>
          <w:rFonts w:ascii="Arial" w:hAnsi="Arial" w:cs="Arial"/>
          <w:sz w:val="21"/>
          <w:lang w:val="sl-SI"/>
        </w:rPr>
        <w:t>.</w:t>
      </w:r>
      <w:r w:rsidRPr="003B73EC">
        <w:rPr>
          <w:rFonts w:ascii="Arial" w:hAnsi="Arial" w:cs="Arial"/>
          <w:sz w:val="21"/>
          <w:lang w:val="sl-SI"/>
        </w:rPr>
        <w:t xml:space="preserve"> tiste, ki dovoljujejo znižanje standardov za namene škodljivih </w:t>
      </w:r>
      <w:r w:rsidR="006F6F37">
        <w:rPr>
          <w:rFonts w:ascii="Arial" w:hAnsi="Arial" w:cs="Arial"/>
          <w:sz w:val="21"/>
          <w:lang w:val="sl-SI"/>
        </w:rPr>
        <w:t>projektov – uporabljene večkrat</w:t>
      </w:r>
      <w:r w:rsidRPr="003B73EC">
        <w:rPr>
          <w:rFonts w:ascii="Arial" w:hAnsi="Arial" w:cs="Arial"/>
          <w:sz w:val="21"/>
          <w:lang w:val="sl-SI"/>
        </w:rPr>
        <w:t xml:space="preserve"> kot v prvem. Prav tako izjeme niso primerno upravičene. </w:t>
      </w:r>
    </w:p>
    <w:p w14:paraId="033868A0" w14:textId="77777777" w:rsidR="00D00645" w:rsidRDefault="00D00645" w:rsidP="00D00645">
      <w:pPr>
        <w:jc w:val="both"/>
        <w:rPr>
          <w:rFonts w:ascii="Arial" w:hAnsi="Arial" w:cs="Arial"/>
          <w:sz w:val="21"/>
          <w:lang w:val="sl-SI"/>
        </w:rPr>
      </w:pPr>
    </w:p>
    <w:p w14:paraId="12A03D72" w14:textId="03FC5AEA" w:rsidR="00D00645" w:rsidRPr="00D00645" w:rsidRDefault="00D00645" w:rsidP="00D00645">
      <w:pPr>
        <w:jc w:val="both"/>
        <w:rPr>
          <w:rFonts w:ascii="Arial" w:hAnsi="Arial" w:cs="Arial"/>
          <w:b/>
          <w:sz w:val="21"/>
          <w:lang w:val="sl-SI"/>
        </w:rPr>
      </w:pPr>
      <w:r w:rsidRPr="00D00645">
        <w:rPr>
          <w:rFonts w:ascii="Arial" w:hAnsi="Arial" w:cs="Arial"/>
          <w:b/>
          <w:sz w:val="21"/>
          <w:lang w:val="sl-SI"/>
        </w:rPr>
        <w:t>O Okvirni direktivi o vodah (ODV)</w:t>
      </w:r>
    </w:p>
    <w:p w14:paraId="28620B38" w14:textId="77777777" w:rsidR="00D00645" w:rsidRPr="00D00645" w:rsidRDefault="00D00645" w:rsidP="00D00645">
      <w:pPr>
        <w:numPr>
          <w:ilvl w:val="0"/>
          <w:numId w:val="1"/>
        </w:numPr>
        <w:spacing w:before="120" w:line="276" w:lineRule="auto"/>
        <w:jc w:val="both"/>
        <w:rPr>
          <w:rFonts w:ascii="Arial" w:hAnsi="Arial" w:cs="Arial"/>
          <w:sz w:val="21"/>
          <w:lang w:val="sl-SI"/>
        </w:rPr>
      </w:pPr>
      <w:r w:rsidRPr="00D00645">
        <w:rPr>
          <w:rFonts w:ascii="Arial" w:hAnsi="Arial" w:cs="Arial"/>
          <w:sz w:val="21"/>
          <w:lang w:val="sl-SI"/>
        </w:rPr>
        <w:t>ODV je ena najbolj progresivnih evropskih okoljevarstvenih zakonodaj. Zahteva varovanje, izboljšanje in obnovo naših rek, mokrišč, jezer in obalnih voda.</w:t>
      </w:r>
    </w:p>
    <w:p w14:paraId="54551DC9" w14:textId="77777777" w:rsidR="00D00645" w:rsidRPr="00D00645" w:rsidRDefault="00D00645" w:rsidP="00D00645">
      <w:pPr>
        <w:numPr>
          <w:ilvl w:val="0"/>
          <w:numId w:val="1"/>
        </w:numPr>
        <w:spacing w:line="276" w:lineRule="auto"/>
        <w:jc w:val="both"/>
        <w:rPr>
          <w:rFonts w:ascii="Arial" w:hAnsi="Arial" w:cs="Arial"/>
          <w:sz w:val="21"/>
          <w:lang w:val="sl-SI"/>
        </w:rPr>
      </w:pPr>
      <w:r w:rsidRPr="00D00645">
        <w:rPr>
          <w:rFonts w:ascii="Arial" w:hAnsi="Arial" w:cs="Arial"/>
          <w:sz w:val="21"/>
          <w:lang w:val="sl-SI"/>
        </w:rPr>
        <w:t>V okviru ODV so se vlade držav članic EU zavezale k preprečitvi slabšanja stanja in doseganju dobrega statusa velike večine vseh vodnih teles do leta 2015 ter najkasneje do leta 2027.</w:t>
      </w:r>
    </w:p>
    <w:p w14:paraId="60649BEF" w14:textId="77777777" w:rsidR="00D00645" w:rsidRPr="00D00645" w:rsidRDefault="00D00645" w:rsidP="00D00645">
      <w:pPr>
        <w:numPr>
          <w:ilvl w:val="0"/>
          <w:numId w:val="1"/>
        </w:numPr>
        <w:spacing w:line="276" w:lineRule="auto"/>
        <w:jc w:val="both"/>
        <w:rPr>
          <w:rFonts w:ascii="Arial" w:hAnsi="Arial" w:cs="Arial"/>
          <w:sz w:val="21"/>
          <w:lang w:val="sl-SI"/>
        </w:rPr>
      </w:pPr>
      <w:r w:rsidRPr="00D00645">
        <w:rPr>
          <w:rFonts w:ascii="Arial" w:hAnsi="Arial" w:cs="Arial"/>
          <w:sz w:val="21"/>
          <w:lang w:val="sl-SI"/>
        </w:rPr>
        <w:t>ODV od članic EU zahteva da ciljajo na dosego vsaj dobrega statusa vsakega vodnega telesa znotraj območja povodja. Vsaka država članica mora izdelati načrt za vsako povodje znotraj svojega teritorija. Prav tako morajo članice koordinirati pripravo načrtov upravljanja za mednarodna območja rečnih povodij (iRBDs).</w:t>
      </w:r>
    </w:p>
    <w:p w14:paraId="0EBEF997" w14:textId="77777777" w:rsidR="00D00645" w:rsidRPr="00D00645" w:rsidRDefault="00D00645" w:rsidP="00D00645">
      <w:pPr>
        <w:numPr>
          <w:ilvl w:val="0"/>
          <w:numId w:val="1"/>
        </w:numPr>
        <w:spacing w:line="276" w:lineRule="auto"/>
        <w:jc w:val="both"/>
        <w:rPr>
          <w:rFonts w:ascii="Arial" w:hAnsi="Arial" w:cs="Arial"/>
          <w:sz w:val="21"/>
          <w:lang w:val="sl-SI"/>
        </w:rPr>
      </w:pPr>
      <w:r w:rsidRPr="00D00645">
        <w:rPr>
          <w:rFonts w:ascii="Arial" w:hAnsi="Arial" w:cs="Arial"/>
          <w:sz w:val="21"/>
          <w:lang w:val="sl-SI"/>
        </w:rPr>
        <w:t>Načrti morajo vključevati cilje za posamezno vodno telo, razloge da nedoseganje ciljev kjer je to relevantno in program ukrepov, ki so nujni za dosego ciljev.</w:t>
      </w:r>
    </w:p>
    <w:p w14:paraId="4F79E08F" w14:textId="77777777" w:rsidR="00D00645" w:rsidRPr="00D00645" w:rsidRDefault="00D00645" w:rsidP="00D00645">
      <w:pPr>
        <w:numPr>
          <w:ilvl w:val="0"/>
          <w:numId w:val="1"/>
        </w:numPr>
        <w:spacing w:line="276" w:lineRule="auto"/>
        <w:jc w:val="both"/>
        <w:rPr>
          <w:rFonts w:ascii="Arial" w:hAnsi="Arial" w:cs="Arial"/>
          <w:sz w:val="21"/>
          <w:lang w:val="sl-SI"/>
        </w:rPr>
      </w:pPr>
      <w:r w:rsidRPr="00D00645">
        <w:rPr>
          <w:rFonts w:ascii="Arial" w:hAnsi="Arial" w:cs="Arial"/>
          <w:sz w:val="21"/>
          <w:lang w:val="sl-SI"/>
        </w:rPr>
        <w:t>V okviru ODV mora Evropska Komisija objaviti poročilo o implementaciji direktive vsakih šest let. Poročilo moda med drugim vsebovati pregled napredka in implemetacije direktive ter raziskavo predloženih nacionalnih načrtov upravljanja v skladu s 15. Členom – vključno z predlogi za izboljšave bodočih načrtov. Prvo poročilo je bilo objavljeno leta 2012, trenutno poročilo vsebuje drugi krog nacionalnih načrtov (2015-2021).</w:t>
      </w:r>
    </w:p>
    <w:p w14:paraId="11A8AB76" w14:textId="77777777" w:rsidR="00D00645" w:rsidRPr="00D00645" w:rsidRDefault="00D00645" w:rsidP="00D00645">
      <w:pPr>
        <w:numPr>
          <w:ilvl w:val="0"/>
          <w:numId w:val="1"/>
        </w:numPr>
        <w:spacing w:line="276" w:lineRule="auto"/>
        <w:jc w:val="both"/>
        <w:rPr>
          <w:rFonts w:ascii="Arial" w:hAnsi="Arial" w:cs="Arial"/>
          <w:sz w:val="21"/>
          <w:lang w:val="sl-SI"/>
        </w:rPr>
      </w:pPr>
      <w:r w:rsidRPr="00D00645">
        <w:rPr>
          <w:rFonts w:ascii="Arial" w:hAnsi="Arial" w:cs="Arial"/>
          <w:sz w:val="21"/>
          <w:lang w:val="sl-SI"/>
        </w:rPr>
        <w:t>Komisija je istočasno objavila poročilo o implementaciji Direktive o poplavah, ocenjevala načrte upravljanja tveganj poplav, katere so morale članice predložiti leta 2015.</w:t>
      </w:r>
    </w:p>
    <w:p w14:paraId="0EC69BB9" w14:textId="77777777" w:rsidR="00D00645" w:rsidRPr="00D00645" w:rsidRDefault="00D00645" w:rsidP="00D00645">
      <w:pPr>
        <w:numPr>
          <w:ilvl w:val="0"/>
          <w:numId w:val="1"/>
        </w:numPr>
        <w:spacing w:line="276" w:lineRule="auto"/>
        <w:jc w:val="both"/>
        <w:rPr>
          <w:rFonts w:ascii="Arial" w:hAnsi="Arial" w:cs="Arial"/>
          <w:sz w:val="21"/>
          <w:lang w:val="sl-SI"/>
        </w:rPr>
      </w:pPr>
      <w:r w:rsidRPr="00D00645">
        <w:rPr>
          <w:rFonts w:ascii="Arial" w:hAnsi="Arial" w:cs="Arial"/>
          <w:sz w:val="21"/>
          <w:lang w:val="sl-SI"/>
        </w:rPr>
        <w:t>ODV se je dokazala kot efektiven način doseganja ciljev dobrega statusa vodnih teles in “neposlabšanja” stanja kadar je bila dobro implemetirana. Uspešno usklajuje okoljske, socialne in ekonomske zahteve.</w:t>
      </w:r>
    </w:p>
    <w:p w14:paraId="56A7AC7B" w14:textId="06018949" w:rsidR="00D00645" w:rsidRPr="00D00645" w:rsidRDefault="00D00645" w:rsidP="00D00645">
      <w:pPr>
        <w:numPr>
          <w:ilvl w:val="0"/>
          <w:numId w:val="1"/>
        </w:numPr>
        <w:spacing w:line="276" w:lineRule="auto"/>
        <w:jc w:val="both"/>
        <w:rPr>
          <w:rFonts w:ascii="Arial" w:hAnsi="Arial" w:cs="Arial"/>
          <w:sz w:val="21"/>
          <w:lang w:val="sl-SI"/>
        </w:rPr>
      </w:pPr>
      <w:r w:rsidRPr="00D00645">
        <w:rPr>
          <w:rFonts w:ascii="Arial" w:hAnsi="Arial" w:cs="Arial"/>
          <w:sz w:val="21"/>
          <w:lang w:val="sl-SI"/>
        </w:rPr>
        <w:t>ODV je trenutno v standardnem procesu revizije imenovanjem “fitness check”. Vsaka EU zakonodaja gre skozi ta proces. T.i. “fitness check” vsebuje anazilo ustreznosti, efektivnosti, učinkovitosti, skladnosti in EU dodano vrednost ODV (in njenih “hčerinskih” direktiv) ter Direktive o poplavah. Vsebuje še trajajoč posvet z zainteresiranimi skupinami in javni posvet.</w:t>
      </w:r>
    </w:p>
    <w:p w14:paraId="7990C9C4" w14:textId="701B9F58" w:rsidR="00D00645" w:rsidRDefault="00D00645" w:rsidP="00D00645">
      <w:pPr>
        <w:jc w:val="both"/>
        <w:rPr>
          <w:rFonts w:ascii="Arial" w:hAnsi="Arial" w:cs="Arial"/>
          <w:b/>
          <w:color w:val="222222"/>
          <w:sz w:val="21"/>
          <w:lang w:val="sl-SI"/>
        </w:rPr>
      </w:pPr>
    </w:p>
    <w:p w14:paraId="6EBCE96E" w14:textId="6054018B" w:rsidR="00F24324" w:rsidRDefault="00F24324" w:rsidP="00D00645">
      <w:pPr>
        <w:jc w:val="both"/>
        <w:rPr>
          <w:rFonts w:ascii="Arial" w:hAnsi="Arial" w:cs="Arial"/>
          <w:b/>
          <w:color w:val="222222"/>
          <w:sz w:val="21"/>
          <w:lang w:val="sl-SI"/>
        </w:rPr>
      </w:pPr>
    </w:p>
    <w:p w14:paraId="11CC1095" w14:textId="5CA4EADC" w:rsidR="00F24324" w:rsidRDefault="00F24324" w:rsidP="00D00645">
      <w:pPr>
        <w:jc w:val="both"/>
        <w:rPr>
          <w:rFonts w:ascii="Arial" w:hAnsi="Arial" w:cs="Arial"/>
          <w:b/>
          <w:color w:val="222222"/>
          <w:sz w:val="21"/>
          <w:lang w:val="sl-SI"/>
        </w:rPr>
      </w:pPr>
    </w:p>
    <w:p w14:paraId="3DD2E5BF" w14:textId="77777777" w:rsidR="00F24324" w:rsidRPr="00D00645" w:rsidRDefault="00F24324" w:rsidP="00D00645">
      <w:pPr>
        <w:jc w:val="both"/>
        <w:rPr>
          <w:rFonts w:ascii="Arial" w:hAnsi="Arial" w:cs="Arial"/>
          <w:b/>
          <w:color w:val="222222"/>
          <w:sz w:val="21"/>
          <w:lang w:val="sl-SI"/>
        </w:rPr>
      </w:pPr>
    </w:p>
    <w:p w14:paraId="0ED0BC6F" w14:textId="7F7A9AC0" w:rsidR="00D00645" w:rsidRPr="00D00645" w:rsidRDefault="00D00645" w:rsidP="00D00645">
      <w:pPr>
        <w:spacing w:before="120"/>
        <w:jc w:val="both"/>
        <w:rPr>
          <w:rFonts w:ascii="Arial" w:hAnsi="Arial" w:cs="Arial"/>
          <w:b/>
          <w:sz w:val="21"/>
          <w:lang w:val="sl-SI"/>
        </w:rPr>
      </w:pPr>
      <w:r w:rsidRPr="00D00645">
        <w:rPr>
          <w:rFonts w:ascii="Arial" w:hAnsi="Arial" w:cs="Arial"/>
          <w:b/>
          <w:sz w:val="21"/>
          <w:lang w:val="sl-SI"/>
        </w:rPr>
        <w:lastRenderedPageBreak/>
        <w:t xml:space="preserve">O </w:t>
      </w:r>
      <w:hyperlink r:id="rId9" w:history="1">
        <w:r w:rsidRPr="00D00645">
          <w:rPr>
            <w:rStyle w:val="Hiperpovezava"/>
            <w:rFonts w:ascii="Arial" w:hAnsi="Arial" w:cs="Arial"/>
            <w:b/>
            <w:sz w:val="21"/>
            <w:lang w:val="sl-SI"/>
          </w:rPr>
          <w:t>kampanji #ProtectWater</w:t>
        </w:r>
      </w:hyperlink>
    </w:p>
    <w:p w14:paraId="78D9B068" w14:textId="77777777" w:rsidR="00D00645" w:rsidRPr="00D00645" w:rsidRDefault="00D00645" w:rsidP="00D00645">
      <w:pPr>
        <w:spacing w:before="120"/>
        <w:ind w:left="1080" w:hanging="360"/>
        <w:jc w:val="both"/>
        <w:rPr>
          <w:rFonts w:ascii="Arial" w:hAnsi="Arial" w:cs="Arial"/>
          <w:color w:val="222222"/>
          <w:sz w:val="21"/>
          <w:lang w:val="sl-SI"/>
        </w:rPr>
      </w:pPr>
      <w:r w:rsidRPr="00D00645">
        <w:rPr>
          <w:rFonts w:ascii="Arial" w:hAnsi="Arial" w:cs="Arial"/>
          <w:color w:val="222222"/>
          <w:sz w:val="21"/>
          <w:lang w:val="sl-SI"/>
        </w:rPr>
        <w:t xml:space="preserve">● </w:t>
      </w:r>
      <w:r w:rsidRPr="00D00645">
        <w:rPr>
          <w:rFonts w:ascii="Arial" w:hAnsi="Arial" w:cs="Arial"/>
          <w:color w:val="222222"/>
          <w:sz w:val="21"/>
          <w:lang w:val="sl-SI"/>
        </w:rPr>
        <w:tab/>
        <w:t xml:space="preserve">Cilj kampanje #ProtectWater je preprost: zaščititi Okvirno direktivo o vodah ter posledično zaščititi evropske reke, jezera, podtalnico, mokrišča in vrste, katerim so ta območja dom, za naslednje generacije. </w:t>
      </w:r>
    </w:p>
    <w:p w14:paraId="52518DED" w14:textId="77777777" w:rsidR="00D00645" w:rsidRPr="00D00645" w:rsidRDefault="00D00645" w:rsidP="00D00645">
      <w:pPr>
        <w:ind w:left="1080" w:hanging="360"/>
        <w:jc w:val="both"/>
        <w:rPr>
          <w:rFonts w:ascii="Arial" w:hAnsi="Arial" w:cs="Arial"/>
          <w:color w:val="222222"/>
          <w:sz w:val="21"/>
          <w:lang w:val="sl-SI"/>
        </w:rPr>
      </w:pPr>
      <w:r w:rsidRPr="00D00645">
        <w:rPr>
          <w:rFonts w:ascii="Arial" w:hAnsi="Arial" w:cs="Arial"/>
          <w:color w:val="222222"/>
          <w:sz w:val="21"/>
          <w:lang w:val="sl-SI"/>
        </w:rPr>
        <w:t xml:space="preserve">● </w:t>
      </w:r>
      <w:r w:rsidRPr="00D00645">
        <w:rPr>
          <w:rFonts w:ascii="Arial" w:hAnsi="Arial" w:cs="Arial"/>
          <w:color w:val="222222"/>
          <w:sz w:val="21"/>
          <w:lang w:val="sl-SI"/>
        </w:rPr>
        <w:tab/>
        <w:t xml:space="preserve">Kampanjo vodi Living Rivers Europe (evropska mreža WWF, European Anglers Alliance, European Environmental Bureau, European Rivers Network, and Wetlands International),  ki skupaj predstavljajo gibanje več kot 40 miljonov ljudi po celi Evropi. </w:t>
      </w:r>
    </w:p>
    <w:p w14:paraId="1DBE9896" w14:textId="77777777" w:rsidR="00D00645" w:rsidRPr="00D00645" w:rsidRDefault="00D00645" w:rsidP="00D00645">
      <w:pPr>
        <w:ind w:left="1080" w:hanging="360"/>
        <w:jc w:val="both"/>
        <w:rPr>
          <w:rFonts w:ascii="Arial" w:hAnsi="Arial" w:cs="Arial"/>
          <w:color w:val="222222"/>
          <w:sz w:val="21"/>
          <w:lang w:val="sl-SI"/>
        </w:rPr>
      </w:pPr>
      <w:r w:rsidRPr="00D00645">
        <w:rPr>
          <w:rFonts w:ascii="Arial" w:hAnsi="Arial" w:cs="Arial"/>
          <w:color w:val="222222"/>
          <w:sz w:val="21"/>
          <w:lang w:val="sl-SI"/>
        </w:rPr>
        <w:t xml:space="preserve">● </w:t>
      </w:r>
      <w:r w:rsidRPr="00D00645">
        <w:rPr>
          <w:rFonts w:ascii="Arial" w:hAnsi="Arial" w:cs="Arial"/>
          <w:color w:val="222222"/>
          <w:sz w:val="21"/>
          <w:lang w:val="sl-SI"/>
        </w:rPr>
        <w:tab/>
        <w:t xml:space="preserve">Trenutno kampanjo podpira 100 nevladnih organizacij, vključno z BirdLife in Friends of the Earth. </w:t>
      </w:r>
    </w:p>
    <w:p w14:paraId="33F08404" w14:textId="77777777" w:rsidR="00D00645" w:rsidRPr="00D00645" w:rsidRDefault="00D00645" w:rsidP="00D00645">
      <w:pPr>
        <w:ind w:left="1080" w:hanging="360"/>
        <w:jc w:val="both"/>
        <w:rPr>
          <w:rFonts w:ascii="Arial" w:hAnsi="Arial" w:cs="Arial"/>
          <w:color w:val="222222"/>
          <w:sz w:val="21"/>
          <w:lang w:val="sl-SI"/>
        </w:rPr>
      </w:pPr>
    </w:p>
    <w:p w14:paraId="2D0558E8" w14:textId="77777777" w:rsidR="00D00645" w:rsidRPr="00D00645" w:rsidRDefault="00D00645" w:rsidP="00D00645">
      <w:pPr>
        <w:ind w:left="1080" w:hanging="360"/>
        <w:jc w:val="both"/>
        <w:rPr>
          <w:rFonts w:ascii="Arial" w:hAnsi="Arial" w:cs="Arial"/>
          <w:color w:val="222222"/>
          <w:sz w:val="21"/>
          <w:lang w:val="sl-SI"/>
        </w:rPr>
      </w:pPr>
      <w:r w:rsidRPr="00D00645">
        <w:rPr>
          <w:rFonts w:ascii="Arial" w:hAnsi="Arial" w:cs="Arial"/>
          <w:color w:val="222222"/>
          <w:sz w:val="21"/>
          <w:lang w:val="sl-SI"/>
        </w:rPr>
        <w:t xml:space="preserve">● </w:t>
      </w:r>
      <w:r w:rsidRPr="00D00645">
        <w:rPr>
          <w:rFonts w:ascii="Arial" w:hAnsi="Arial" w:cs="Arial"/>
          <w:color w:val="222222"/>
          <w:sz w:val="21"/>
          <w:lang w:val="sl-SI"/>
        </w:rPr>
        <w:tab/>
        <w:t xml:space="preserve">Kampanja omogoča vsakemu da se na preprost način vključi v javno razpravo in oceno evropske vodne zakonodaje, ki vključuje tudi ODV. Living Rivers Europe verjame, da lahko le glasen klic državljanoc ohrani ODV takšno kot je – stroga in močna zakonodaja od katere je odvisna zaščita rek, jezer in mokrišč. Z izpolnitvijo spletnega orodja (do katerega lahko dostopate tu: </w:t>
      </w:r>
      <w:hyperlink r:id="rId10" w:history="1">
        <w:r w:rsidRPr="00D00645">
          <w:rPr>
            <w:rStyle w:val="Hiperpovezava"/>
            <w:rFonts w:ascii="Arial" w:hAnsi="Arial" w:cs="Arial"/>
            <w:sz w:val="21"/>
            <w:lang w:val="sl-SI"/>
          </w:rPr>
          <w:t>http://www.wwfadria.org/sl/kampanje/protect_water/</w:t>
        </w:r>
      </w:hyperlink>
      <w:r w:rsidRPr="00D00645">
        <w:rPr>
          <w:rFonts w:ascii="Arial" w:hAnsi="Arial" w:cs="Arial"/>
          <w:color w:val="222222"/>
          <w:sz w:val="21"/>
          <w:lang w:val="sl-SI"/>
        </w:rPr>
        <w:t>) lahko posamezniki hitro in preprosto pošljejo predlagan odgovor javni razpravi Evropski komisiji.</w:t>
      </w:r>
    </w:p>
    <w:p w14:paraId="413092C0" w14:textId="77777777" w:rsidR="00D00645" w:rsidRPr="00D00645" w:rsidRDefault="00D00645" w:rsidP="00D00645">
      <w:pPr>
        <w:spacing w:after="120"/>
        <w:ind w:left="1080" w:hanging="360"/>
        <w:jc w:val="both"/>
        <w:rPr>
          <w:sz w:val="22"/>
          <w:lang w:val="sl-SI"/>
        </w:rPr>
      </w:pPr>
    </w:p>
    <w:p w14:paraId="207D8D3C" w14:textId="77777777" w:rsidR="00D00645" w:rsidRPr="00D00645" w:rsidRDefault="00D00645" w:rsidP="00D00645">
      <w:pPr>
        <w:spacing w:line="276" w:lineRule="auto"/>
        <w:jc w:val="both"/>
        <w:rPr>
          <w:rFonts w:ascii="Arial" w:hAnsi="Arial" w:cs="Arial"/>
          <w:sz w:val="20"/>
          <w:lang w:val="sl-SI"/>
        </w:rPr>
      </w:pPr>
    </w:p>
    <w:p w14:paraId="10E0FC71" w14:textId="77777777" w:rsidR="00B15AA5" w:rsidRPr="00405EA6" w:rsidRDefault="00B15AA5" w:rsidP="00B15AA5">
      <w:pPr>
        <w:pStyle w:val="Brezrazmikov"/>
        <w:spacing w:line="276" w:lineRule="auto"/>
        <w:contextualSpacing/>
        <w:jc w:val="both"/>
        <w:rPr>
          <w:rFonts w:ascii="Arial" w:hAnsi="Arial"/>
          <w:b/>
          <w:lang w:val="sl-SI"/>
        </w:rPr>
      </w:pPr>
      <w:r w:rsidRPr="00405EA6">
        <w:rPr>
          <w:rFonts w:ascii="Arial" w:hAnsi="Arial"/>
          <w:b/>
          <w:lang w:val="sl-SI"/>
        </w:rPr>
        <w:t>O WWF</w:t>
      </w:r>
    </w:p>
    <w:p w14:paraId="22413BCA" w14:textId="7CF6680B" w:rsidR="00B15AA5" w:rsidRDefault="00B15AA5" w:rsidP="00B15AA5">
      <w:pPr>
        <w:pStyle w:val="Brezrazmikov"/>
        <w:spacing w:line="276" w:lineRule="auto"/>
        <w:contextualSpacing/>
        <w:jc w:val="both"/>
        <w:rPr>
          <w:rFonts w:ascii="Arial" w:hAnsi="Arial"/>
          <w:lang w:val="sl-SI"/>
        </w:rPr>
      </w:pPr>
      <w:r w:rsidRPr="00405EA6">
        <w:rPr>
          <w:rFonts w:ascii="Arial" w:hAnsi="Arial"/>
          <w:lang w:val="sl-SI"/>
        </w:rPr>
        <w:t xml:space="preserve">WWF je ena največjih in najbolj spoštovanih neodvisnih organizacij za varstvo narave, ki s skoraj petimi milijoni privržencev in globalnim omrežjem deluje v več kot sto državah. Poslanstvo WWF je ustaviti degradacijo Zemljinega naravnega okolja in graditi prihodnost, v kateri ljudje živijo v sožitju z naravo skozi ohranjanje svetovne biotske raznovrstnosti, zagotavljanjem trajnostne uporabe obnovljivih naravnih virov in spodbujanjem zmanjševanja onesnaževanja ter potratne porabe. Za več informacij od delu WWF v regiji obiščite: </w:t>
      </w:r>
      <w:hyperlink r:id="rId11" w:history="1">
        <w:r w:rsidRPr="00405EA6">
          <w:rPr>
            <w:rStyle w:val="Hiperpovezava"/>
            <w:rFonts w:ascii="Arial" w:hAnsi="Arial"/>
            <w:color w:val="auto"/>
            <w:lang w:val="sl-SI"/>
          </w:rPr>
          <w:t>http://adria.panda.org/sl/</w:t>
        </w:r>
      </w:hyperlink>
      <w:r w:rsidRPr="00405EA6">
        <w:rPr>
          <w:rFonts w:ascii="Arial" w:hAnsi="Arial"/>
          <w:lang w:val="sl-SI"/>
        </w:rPr>
        <w:t xml:space="preserve">. </w:t>
      </w:r>
    </w:p>
    <w:p w14:paraId="1402570C" w14:textId="38D23450" w:rsidR="007A450C" w:rsidRDefault="007A450C" w:rsidP="00B15AA5">
      <w:pPr>
        <w:pStyle w:val="Brezrazmikov"/>
        <w:spacing w:line="276" w:lineRule="auto"/>
        <w:contextualSpacing/>
        <w:jc w:val="both"/>
        <w:rPr>
          <w:rFonts w:ascii="Arial" w:hAnsi="Arial"/>
          <w:lang w:val="sl-SI"/>
        </w:rPr>
      </w:pPr>
    </w:p>
    <w:p w14:paraId="732DA971" w14:textId="77777777" w:rsidR="007A450C" w:rsidRPr="00405EA6" w:rsidRDefault="007A450C" w:rsidP="00B15AA5">
      <w:pPr>
        <w:pStyle w:val="Brezrazmikov"/>
        <w:spacing w:line="276" w:lineRule="auto"/>
        <w:contextualSpacing/>
        <w:jc w:val="both"/>
        <w:rPr>
          <w:rFonts w:ascii="Arial" w:hAnsi="Arial"/>
          <w:lang w:val="sl-SI"/>
        </w:rPr>
      </w:pPr>
    </w:p>
    <w:p w14:paraId="3B9F8BD3" w14:textId="77777777" w:rsidR="00B15AA5" w:rsidRPr="00405EA6" w:rsidRDefault="00B15AA5" w:rsidP="00B15AA5">
      <w:pPr>
        <w:rPr>
          <w:sz w:val="22"/>
        </w:rPr>
      </w:pPr>
    </w:p>
    <w:p w14:paraId="72C3F684" w14:textId="77777777" w:rsidR="00A06352" w:rsidRPr="00405EA6" w:rsidRDefault="00A06352">
      <w:pPr>
        <w:rPr>
          <w:sz w:val="22"/>
        </w:rPr>
      </w:pPr>
    </w:p>
    <w:sectPr w:rsidR="00A06352" w:rsidRPr="00405EA6">
      <w:head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01D883" w14:textId="77777777" w:rsidR="005C46D8" w:rsidRDefault="005C46D8">
      <w:r>
        <w:separator/>
      </w:r>
    </w:p>
  </w:endnote>
  <w:endnote w:type="continuationSeparator" w:id="0">
    <w:p w14:paraId="67E1B1ED" w14:textId="77777777" w:rsidR="005C46D8" w:rsidRDefault="005C4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imes">
    <w:panose1 w:val="00000000000000000000"/>
    <w:charset w:val="4D"/>
    <w:family w:val="roman"/>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0002AFF" w:usb1="C000247B" w:usb2="00000009" w:usb3="00000000" w:csb0="000001FF" w:csb1="00000000"/>
  </w:font>
  <w:font w:name="Yu Mincho">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E42E35" w14:textId="77777777" w:rsidR="005C46D8" w:rsidRDefault="005C46D8">
      <w:r>
        <w:separator/>
      </w:r>
    </w:p>
  </w:footnote>
  <w:footnote w:type="continuationSeparator" w:id="0">
    <w:p w14:paraId="7C130A1F" w14:textId="77777777" w:rsidR="005C46D8" w:rsidRDefault="005C46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5433"/>
      <w:gridCol w:w="3639"/>
    </w:tblGrid>
    <w:tr w:rsidR="00826C6D" w14:paraId="0AEABD77" w14:textId="77777777" w:rsidTr="005F755C">
      <w:tc>
        <w:tcPr>
          <w:tcW w:w="5637" w:type="dxa"/>
          <w:shd w:val="clear" w:color="auto" w:fill="auto"/>
        </w:tcPr>
        <w:p w14:paraId="5A9147F1" w14:textId="77777777" w:rsidR="00826C6D" w:rsidRDefault="00826C6D">
          <w:pPr>
            <w:pStyle w:val="Glava"/>
          </w:pPr>
          <w:r>
            <w:rPr>
              <w:noProof/>
              <w:lang w:val="sl-SI" w:eastAsia="sl-SI"/>
            </w:rPr>
            <w:drawing>
              <wp:inline distT="0" distB="0" distL="0" distR="0" wp14:anchorId="2288F7BB" wp14:editId="7B9496CC">
                <wp:extent cx="739140" cy="982980"/>
                <wp:effectExtent l="19050" t="0" r="3810" b="0"/>
                <wp:docPr id="1" name="Picture 1" descr="20_R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_Reg"/>
                        <pic:cNvPicPr>
                          <a:picLocks noChangeAspect="1" noChangeArrowheads="1"/>
                        </pic:cNvPicPr>
                      </pic:nvPicPr>
                      <pic:blipFill>
                        <a:blip r:embed="rId1"/>
                        <a:srcRect/>
                        <a:stretch>
                          <a:fillRect/>
                        </a:stretch>
                      </pic:blipFill>
                      <pic:spPr bwMode="auto">
                        <a:xfrm>
                          <a:off x="0" y="0"/>
                          <a:ext cx="739140" cy="982980"/>
                        </a:xfrm>
                        <a:prstGeom prst="rect">
                          <a:avLst/>
                        </a:prstGeom>
                        <a:noFill/>
                        <a:ln w="9525">
                          <a:noFill/>
                          <a:miter lim="800000"/>
                          <a:headEnd/>
                          <a:tailEnd/>
                        </a:ln>
                      </pic:spPr>
                    </pic:pic>
                  </a:graphicData>
                </a:graphic>
              </wp:inline>
            </w:drawing>
          </w:r>
        </w:p>
      </w:tc>
      <w:tc>
        <w:tcPr>
          <w:tcW w:w="3651" w:type="dxa"/>
          <w:shd w:val="clear" w:color="auto" w:fill="auto"/>
        </w:tcPr>
        <w:p w14:paraId="1281C863" w14:textId="77777777" w:rsidR="00826C6D" w:rsidRDefault="00826C6D"/>
        <w:tbl>
          <w:tblPr>
            <w:tblW w:w="3190" w:type="dxa"/>
            <w:tblCellMar>
              <w:left w:w="0" w:type="dxa"/>
              <w:right w:w="0" w:type="dxa"/>
            </w:tblCellMar>
            <w:tblLook w:val="0000" w:firstRow="0" w:lastRow="0" w:firstColumn="0" w:lastColumn="0" w:noHBand="0" w:noVBand="0"/>
          </w:tblPr>
          <w:tblGrid>
            <w:gridCol w:w="1163"/>
            <w:gridCol w:w="92"/>
            <w:gridCol w:w="1935"/>
          </w:tblGrid>
          <w:tr w:rsidR="00826C6D" w:rsidRPr="00823B57" w14:paraId="5565B3C9" w14:textId="77777777" w:rsidTr="005F755C">
            <w:trPr>
              <w:trHeight w:val="910"/>
            </w:trPr>
            <w:tc>
              <w:tcPr>
                <w:tcW w:w="1163" w:type="dxa"/>
              </w:tcPr>
              <w:p w14:paraId="17F13DA8" w14:textId="77777777" w:rsidR="00826C6D" w:rsidRPr="00A04E14" w:rsidRDefault="00826C6D" w:rsidP="005F755C">
                <w:pPr>
                  <w:tabs>
                    <w:tab w:val="center" w:pos="4153"/>
                    <w:tab w:val="right" w:pos="8306"/>
                  </w:tabs>
                  <w:spacing w:line="210" w:lineRule="exact"/>
                  <w:jc w:val="right"/>
                  <w:rPr>
                    <w:rFonts w:ascii="Arial" w:hAnsi="Arial" w:cs="Arial"/>
                    <w:sz w:val="16"/>
                    <w:szCs w:val="20"/>
                  </w:rPr>
                </w:pPr>
                <w:r w:rsidRPr="00A04E14">
                  <w:rPr>
                    <w:rFonts w:ascii="Arial" w:hAnsi="Arial" w:cs="Arial"/>
                    <w:b/>
                    <w:sz w:val="16"/>
                    <w:szCs w:val="20"/>
                  </w:rPr>
                  <w:t xml:space="preserve">WWF Adria </w:t>
                </w:r>
              </w:p>
              <w:p w14:paraId="1CD718A5" w14:textId="77777777" w:rsidR="00826C6D" w:rsidRPr="00A04E14" w:rsidRDefault="00826C6D" w:rsidP="005F755C">
                <w:pPr>
                  <w:tabs>
                    <w:tab w:val="center" w:pos="4153"/>
                    <w:tab w:val="right" w:pos="8306"/>
                  </w:tabs>
                  <w:spacing w:line="210" w:lineRule="exact"/>
                  <w:jc w:val="right"/>
                  <w:rPr>
                    <w:rFonts w:ascii="Arial" w:hAnsi="Arial" w:cs="Arial"/>
                    <w:sz w:val="16"/>
                    <w:szCs w:val="20"/>
                  </w:rPr>
                </w:pPr>
                <w:proofErr w:type="spellStart"/>
                <w:r w:rsidRPr="00A04E14">
                  <w:rPr>
                    <w:rFonts w:ascii="Arial" w:hAnsi="Arial" w:cs="Arial"/>
                    <w:sz w:val="16"/>
                    <w:szCs w:val="20"/>
                  </w:rPr>
                  <w:t>Zelinska</w:t>
                </w:r>
                <w:proofErr w:type="spellEnd"/>
                <w:r w:rsidRPr="00A04E14">
                  <w:rPr>
                    <w:rFonts w:ascii="Arial" w:hAnsi="Arial" w:cs="Arial"/>
                    <w:sz w:val="16"/>
                    <w:szCs w:val="20"/>
                  </w:rPr>
                  <w:t xml:space="preserve"> 2</w:t>
                </w:r>
              </w:p>
              <w:p w14:paraId="02D937C7" w14:textId="77777777" w:rsidR="00826C6D" w:rsidRPr="00A04E14" w:rsidRDefault="00826C6D" w:rsidP="005F755C">
                <w:pPr>
                  <w:tabs>
                    <w:tab w:val="center" w:pos="4153"/>
                    <w:tab w:val="right" w:pos="8306"/>
                  </w:tabs>
                  <w:spacing w:line="210" w:lineRule="exact"/>
                  <w:jc w:val="right"/>
                  <w:rPr>
                    <w:rFonts w:ascii="Arial" w:hAnsi="Arial" w:cs="Arial"/>
                    <w:sz w:val="16"/>
                    <w:szCs w:val="20"/>
                  </w:rPr>
                </w:pPr>
                <w:r w:rsidRPr="00A04E14">
                  <w:rPr>
                    <w:rFonts w:ascii="Arial" w:hAnsi="Arial" w:cs="Arial"/>
                    <w:sz w:val="16"/>
                    <w:szCs w:val="20"/>
                  </w:rPr>
                  <w:t>10 000 Zagreb</w:t>
                </w:r>
              </w:p>
              <w:p w14:paraId="623D8BDB" w14:textId="77777777" w:rsidR="00826C6D" w:rsidRPr="00A04E14" w:rsidRDefault="00826C6D" w:rsidP="005F755C">
                <w:pPr>
                  <w:tabs>
                    <w:tab w:val="center" w:pos="4153"/>
                    <w:tab w:val="right" w:pos="8306"/>
                  </w:tabs>
                  <w:spacing w:line="210" w:lineRule="exact"/>
                  <w:jc w:val="right"/>
                  <w:rPr>
                    <w:rFonts w:ascii="Arial" w:hAnsi="Arial" w:cs="Arial"/>
                    <w:b/>
                    <w:sz w:val="16"/>
                    <w:szCs w:val="20"/>
                    <w:highlight w:val="yellow"/>
                  </w:rPr>
                </w:pPr>
                <w:r w:rsidRPr="00A04E14">
                  <w:rPr>
                    <w:rFonts w:ascii="Arial" w:hAnsi="Arial" w:cs="Arial"/>
                    <w:sz w:val="16"/>
                    <w:szCs w:val="20"/>
                  </w:rPr>
                  <w:t>Croatia</w:t>
                </w:r>
              </w:p>
            </w:tc>
            <w:tc>
              <w:tcPr>
                <w:tcW w:w="92" w:type="dxa"/>
              </w:tcPr>
              <w:p w14:paraId="6E2B4419" w14:textId="77777777" w:rsidR="00826C6D" w:rsidRPr="00A04E14" w:rsidRDefault="00826C6D" w:rsidP="005F755C">
                <w:pPr>
                  <w:tabs>
                    <w:tab w:val="center" w:pos="4153"/>
                    <w:tab w:val="right" w:pos="8306"/>
                  </w:tabs>
                  <w:spacing w:line="210" w:lineRule="exact"/>
                  <w:jc w:val="right"/>
                  <w:rPr>
                    <w:rFonts w:ascii="Arial" w:hAnsi="Arial" w:cs="Arial"/>
                    <w:sz w:val="16"/>
                    <w:szCs w:val="20"/>
                    <w:highlight w:val="yellow"/>
                  </w:rPr>
                </w:pPr>
              </w:p>
            </w:tc>
            <w:tc>
              <w:tcPr>
                <w:tcW w:w="1935" w:type="dxa"/>
              </w:tcPr>
              <w:p w14:paraId="0CE06760" w14:textId="77777777" w:rsidR="00826C6D" w:rsidRPr="00823B57" w:rsidRDefault="00826C6D" w:rsidP="005F755C">
                <w:pPr>
                  <w:tabs>
                    <w:tab w:val="center" w:pos="4153"/>
                    <w:tab w:val="right" w:pos="8306"/>
                  </w:tabs>
                  <w:spacing w:line="210" w:lineRule="exact"/>
                  <w:jc w:val="right"/>
                  <w:rPr>
                    <w:rFonts w:ascii="Arial" w:hAnsi="Arial" w:cs="Arial"/>
                    <w:sz w:val="16"/>
                    <w:szCs w:val="16"/>
                  </w:rPr>
                </w:pPr>
                <w:r w:rsidRPr="00823B57">
                  <w:rPr>
                    <w:rFonts w:ascii="Arial" w:hAnsi="Arial" w:cs="Arial"/>
                    <w:sz w:val="16"/>
                    <w:szCs w:val="20"/>
                  </w:rPr>
                  <w:t xml:space="preserve">Tel: </w:t>
                </w:r>
                <w:r w:rsidRPr="00823B57">
                  <w:rPr>
                    <w:rFonts w:ascii="Arial" w:hAnsi="Arial" w:cs="Arial"/>
                    <w:sz w:val="16"/>
                    <w:szCs w:val="16"/>
                  </w:rPr>
                  <w:t>+385 1 5509 623</w:t>
                </w:r>
              </w:p>
              <w:p w14:paraId="17EA7DC2" w14:textId="77777777" w:rsidR="00826C6D" w:rsidRPr="00823B57" w:rsidRDefault="00826C6D" w:rsidP="005F755C">
                <w:pPr>
                  <w:tabs>
                    <w:tab w:val="center" w:pos="4153"/>
                    <w:tab w:val="right" w:pos="8306"/>
                  </w:tabs>
                  <w:spacing w:line="210" w:lineRule="exact"/>
                  <w:jc w:val="right"/>
                  <w:rPr>
                    <w:rFonts w:ascii="Arial" w:hAnsi="Arial" w:cs="Arial"/>
                    <w:sz w:val="16"/>
                    <w:szCs w:val="16"/>
                  </w:rPr>
                </w:pPr>
                <w:r w:rsidRPr="00823B57">
                  <w:rPr>
                    <w:rFonts w:ascii="Arial" w:hAnsi="Arial" w:cs="Arial"/>
                    <w:sz w:val="16"/>
                    <w:szCs w:val="16"/>
                  </w:rPr>
                  <w:t>Fax: +385 1 4577 229</w:t>
                </w:r>
              </w:p>
              <w:p w14:paraId="19E73194" w14:textId="77777777" w:rsidR="00826C6D" w:rsidRPr="00823B57" w:rsidRDefault="005C46D8" w:rsidP="005F755C">
                <w:pPr>
                  <w:tabs>
                    <w:tab w:val="center" w:pos="4153"/>
                    <w:tab w:val="right" w:pos="8306"/>
                  </w:tabs>
                  <w:spacing w:line="210" w:lineRule="exact"/>
                  <w:jc w:val="right"/>
                  <w:rPr>
                    <w:rFonts w:ascii="Arial" w:hAnsi="Arial" w:cs="Arial"/>
                    <w:sz w:val="16"/>
                    <w:szCs w:val="20"/>
                    <w:highlight w:val="yellow"/>
                  </w:rPr>
                </w:pPr>
                <w:hyperlink r:id="rId2" w:history="1">
                  <w:r w:rsidR="00826C6D" w:rsidRPr="00823B57">
                    <w:rPr>
                      <w:rStyle w:val="Hiperpovezava"/>
                      <w:rFonts w:ascii="Arial" w:hAnsi="Arial" w:cs="Arial"/>
                      <w:sz w:val="16"/>
                      <w:szCs w:val="20"/>
                    </w:rPr>
                    <w:t>adria.panda.org</w:t>
                  </w:r>
                </w:hyperlink>
                <w:r w:rsidR="00826C6D" w:rsidRPr="00823B57">
                  <w:rPr>
                    <w:rFonts w:ascii="Arial" w:hAnsi="Arial" w:cs="Arial"/>
                    <w:sz w:val="16"/>
                    <w:szCs w:val="20"/>
                  </w:rPr>
                  <w:t xml:space="preserve"> </w:t>
                </w:r>
              </w:p>
            </w:tc>
          </w:tr>
        </w:tbl>
        <w:p w14:paraId="39AF08A0" w14:textId="77777777" w:rsidR="00826C6D" w:rsidRDefault="00826C6D">
          <w:pPr>
            <w:pStyle w:val="Glava"/>
          </w:pPr>
        </w:p>
      </w:tc>
    </w:tr>
  </w:tbl>
  <w:p w14:paraId="6A7341D0" w14:textId="77777777" w:rsidR="00826C6D" w:rsidRDefault="00826C6D">
    <w:pPr>
      <w:pStyle w:val="Glav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166C70"/>
    <w:multiLevelType w:val="multilevel"/>
    <w:tmpl w:val="A59A9C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6437EA7"/>
    <w:multiLevelType w:val="multilevel"/>
    <w:tmpl w:val="494E8A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AA5"/>
    <w:rsid w:val="00023F48"/>
    <w:rsid w:val="000316CD"/>
    <w:rsid w:val="000530D0"/>
    <w:rsid w:val="000634A3"/>
    <w:rsid w:val="000770D5"/>
    <w:rsid w:val="000B21CC"/>
    <w:rsid w:val="001A0831"/>
    <w:rsid w:val="0022448A"/>
    <w:rsid w:val="002343D8"/>
    <w:rsid w:val="00296DC5"/>
    <w:rsid w:val="00332A99"/>
    <w:rsid w:val="00347FFE"/>
    <w:rsid w:val="003B22EB"/>
    <w:rsid w:val="003B5C88"/>
    <w:rsid w:val="003B73EC"/>
    <w:rsid w:val="00405EA6"/>
    <w:rsid w:val="00416B5B"/>
    <w:rsid w:val="004B1045"/>
    <w:rsid w:val="005105ED"/>
    <w:rsid w:val="00574A97"/>
    <w:rsid w:val="00583A00"/>
    <w:rsid w:val="005A3932"/>
    <w:rsid w:val="005C46D8"/>
    <w:rsid w:val="005F0883"/>
    <w:rsid w:val="005F755C"/>
    <w:rsid w:val="006062A4"/>
    <w:rsid w:val="006F214E"/>
    <w:rsid w:val="006F6F37"/>
    <w:rsid w:val="00744C7C"/>
    <w:rsid w:val="00754D3A"/>
    <w:rsid w:val="00774C98"/>
    <w:rsid w:val="007A450C"/>
    <w:rsid w:val="00826C6D"/>
    <w:rsid w:val="00850FEB"/>
    <w:rsid w:val="008A6F30"/>
    <w:rsid w:val="00997F06"/>
    <w:rsid w:val="009E2F7A"/>
    <w:rsid w:val="00A06352"/>
    <w:rsid w:val="00A93657"/>
    <w:rsid w:val="00AA0028"/>
    <w:rsid w:val="00AF775B"/>
    <w:rsid w:val="00B15AA5"/>
    <w:rsid w:val="00BF64F7"/>
    <w:rsid w:val="00C24B0F"/>
    <w:rsid w:val="00C77DD2"/>
    <w:rsid w:val="00CA5D00"/>
    <w:rsid w:val="00D00645"/>
    <w:rsid w:val="00D647F1"/>
    <w:rsid w:val="00D673D2"/>
    <w:rsid w:val="00DA1964"/>
    <w:rsid w:val="00DA629B"/>
    <w:rsid w:val="00E21CCF"/>
    <w:rsid w:val="00E96071"/>
    <w:rsid w:val="00EE6887"/>
    <w:rsid w:val="00F018E6"/>
    <w:rsid w:val="00F24324"/>
    <w:rsid w:val="00F47C40"/>
    <w:rsid w:val="00F6107E"/>
    <w:rsid w:val="00FD04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EC5435"/>
  <w15:docId w15:val="{9FB3C385-D8BC-D147-A20F-8753DA63C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B15AA5"/>
    <w:rPr>
      <w:rFonts w:ascii="Times New Roman" w:eastAsia="Times New Roman" w:hAnsi="Times New Roman" w:cs="Times New Roman"/>
      <w:lang w:val="en-GB" w:eastAsia="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B15AA5"/>
    <w:pPr>
      <w:tabs>
        <w:tab w:val="center" w:pos="4703"/>
        <w:tab w:val="right" w:pos="9406"/>
      </w:tabs>
    </w:pPr>
  </w:style>
  <w:style w:type="character" w:customStyle="1" w:styleId="GlavaZnak">
    <w:name w:val="Glava Znak"/>
    <w:basedOn w:val="Privzetapisavaodstavka"/>
    <w:link w:val="Glava"/>
    <w:rsid w:val="00B15AA5"/>
    <w:rPr>
      <w:rFonts w:ascii="Times New Roman" w:eastAsia="Times New Roman" w:hAnsi="Times New Roman" w:cs="Times New Roman"/>
      <w:lang w:val="en-GB" w:eastAsia="en-GB"/>
    </w:rPr>
  </w:style>
  <w:style w:type="character" w:styleId="Hiperpovezava">
    <w:name w:val="Hyperlink"/>
    <w:uiPriority w:val="99"/>
    <w:rsid w:val="00B15AA5"/>
    <w:rPr>
      <w:color w:val="0000FF"/>
      <w:u w:val="single"/>
    </w:rPr>
  </w:style>
  <w:style w:type="paragraph" w:styleId="Brezrazmikov">
    <w:name w:val="No Spacing"/>
    <w:uiPriority w:val="1"/>
    <w:qFormat/>
    <w:rsid w:val="00B15AA5"/>
    <w:pPr>
      <w:suppressAutoHyphens/>
    </w:pPr>
    <w:rPr>
      <w:rFonts w:ascii="Calibri" w:eastAsia="Calibri" w:hAnsi="Calibri" w:cs="Times New Roman"/>
      <w:sz w:val="22"/>
      <w:szCs w:val="22"/>
      <w:lang w:eastAsia="ar-SA"/>
    </w:rPr>
  </w:style>
  <w:style w:type="paragraph" w:customStyle="1" w:styleId="Titletext">
    <w:name w:val="Title text"/>
    <w:basedOn w:val="Navaden"/>
    <w:uiPriority w:val="99"/>
    <w:rsid w:val="00B15AA5"/>
    <w:pPr>
      <w:tabs>
        <w:tab w:val="left" w:pos="1134"/>
        <w:tab w:val="left" w:pos="2268"/>
        <w:tab w:val="left" w:pos="3402"/>
        <w:tab w:val="left" w:pos="4536"/>
        <w:tab w:val="left" w:pos="5670"/>
        <w:tab w:val="left" w:pos="6804"/>
        <w:tab w:val="left" w:pos="7938"/>
      </w:tabs>
      <w:suppressAutoHyphens/>
      <w:spacing w:before="120"/>
    </w:pPr>
    <w:rPr>
      <w:rFonts w:ascii="Times" w:hAnsi="Times"/>
      <w:b/>
      <w:sz w:val="110"/>
      <w:szCs w:val="20"/>
    </w:rPr>
  </w:style>
  <w:style w:type="paragraph" w:styleId="Navadensplet">
    <w:name w:val="Normal (Web)"/>
    <w:basedOn w:val="Navaden"/>
    <w:uiPriority w:val="99"/>
    <w:unhideWhenUsed/>
    <w:rsid w:val="00B15AA5"/>
    <w:rPr>
      <w:rFonts w:eastAsia="Calibri"/>
    </w:rPr>
  </w:style>
  <w:style w:type="character" w:customStyle="1" w:styleId="UnresolvedMention1">
    <w:name w:val="Unresolved Mention1"/>
    <w:basedOn w:val="Privzetapisavaodstavka"/>
    <w:uiPriority w:val="99"/>
    <w:semiHidden/>
    <w:unhideWhenUsed/>
    <w:rsid w:val="00574A97"/>
    <w:rPr>
      <w:color w:val="605E5C"/>
      <w:shd w:val="clear" w:color="auto" w:fill="E1DFDD"/>
    </w:rPr>
  </w:style>
  <w:style w:type="paragraph" w:styleId="Besedilooblaka">
    <w:name w:val="Balloon Text"/>
    <w:basedOn w:val="Navaden"/>
    <w:link w:val="BesedilooblakaZnak"/>
    <w:uiPriority w:val="99"/>
    <w:semiHidden/>
    <w:unhideWhenUsed/>
    <w:rsid w:val="005F755C"/>
    <w:rPr>
      <w:rFonts w:ascii="Lucida Grande" w:hAnsi="Lucida Grande" w:cs="Lucida Grande"/>
      <w:sz w:val="18"/>
      <w:szCs w:val="18"/>
    </w:rPr>
  </w:style>
  <w:style w:type="character" w:customStyle="1" w:styleId="BesedilooblakaZnak">
    <w:name w:val="Besedilo oblačka Znak"/>
    <w:basedOn w:val="Privzetapisavaodstavka"/>
    <w:link w:val="Besedilooblaka"/>
    <w:uiPriority w:val="99"/>
    <w:semiHidden/>
    <w:rsid w:val="005F755C"/>
    <w:rPr>
      <w:rFonts w:ascii="Lucida Grande" w:eastAsia="Times New Roman" w:hAnsi="Lucida Grande" w:cs="Lucida Grande"/>
      <w:sz w:val="18"/>
      <w:szCs w:val="18"/>
      <w:lang w:val="en-GB" w:eastAsia="en-GB"/>
    </w:rPr>
  </w:style>
  <w:style w:type="character" w:styleId="Pripombasklic">
    <w:name w:val="annotation reference"/>
    <w:basedOn w:val="Privzetapisavaodstavka"/>
    <w:uiPriority w:val="99"/>
    <w:semiHidden/>
    <w:unhideWhenUsed/>
    <w:rsid w:val="003B5C88"/>
    <w:rPr>
      <w:sz w:val="16"/>
      <w:szCs w:val="16"/>
    </w:rPr>
  </w:style>
  <w:style w:type="paragraph" w:styleId="Pripombabesedilo">
    <w:name w:val="annotation text"/>
    <w:basedOn w:val="Navaden"/>
    <w:link w:val="PripombabesediloZnak"/>
    <w:uiPriority w:val="99"/>
    <w:semiHidden/>
    <w:unhideWhenUsed/>
    <w:rsid w:val="003B5C88"/>
    <w:rPr>
      <w:sz w:val="20"/>
      <w:szCs w:val="20"/>
    </w:rPr>
  </w:style>
  <w:style w:type="character" w:customStyle="1" w:styleId="PripombabesediloZnak">
    <w:name w:val="Pripomba – besedilo Znak"/>
    <w:basedOn w:val="Privzetapisavaodstavka"/>
    <w:link w:val="Pripombabesedilo"/>
    <w:uiPriority w:val="99"/>
    <w:semiHidden/>
    <w:rsid w:val="003B5C88"/>
    <w:rPr>
      <w:rFonts w:ascii="Times New Roman" w:eastAsia="Times New Roman" w:hAnsi="Times New Roman" w:cs="Times New Roman"/>
      <w:sz w:val="20"/>
      <w:szCs w:val="20"/>
      <w:lang w:val="en-GB" w:eastAsia="en-GB"/>
    </w:rPr>
  </w:style>
  <w:style w:type="paragraph" w:styleId="Zadevapripombe">
    <w:name w:val="annotation subject"/>
    <w:basedOn w:val="Pripombabesedilo"/>
    <w:next w:val="Pripombabesedilo"/>
    <w:link w:val="ZadevapripombeZnak"/>
    <w:uiPriority w:val="99"/>
    <w:semiHidden/>
    <w:unhideWhenUsed/>
    <w:rsid w:val="003B5C88"/>
    <w:rPr>
      <w:b/>
      <w:bCs/>
    </w:rPr>
  </w:style>
  <w:style w:type="character" w:customStyle="1" w:styleId="ZadevapripombeZnak">
    <w:name w:val="Zadeva pripombe Znak"/>
    <w:basedOn w:val="PripombabesediloZnak"/>
    <w:link w:val="Zadevapripombe"/>
    <w:uiPriority w:val="99"/>
    <w:semiHidden/>
    <w:rsid w:val="003B5C88"/>
    <w:rPr>
      <w:rFonts w:ascii="Times New Roman" w:eastAsia="Times New Roman" w:hAnsi="Times New Roman" w:cs="Times New Roman"/>
      <w:b/>
      <w:bCs/>
      <w:sz w:val="20"/>
      <w:szCs w:val="20"/>
      <w:lang w:val="en-GB" w:eastAsia="en-GB"/>
    </w:rPr>
  </w:style>
  <w:style w:type="character" w:customStyle="1" w:styleId="apple-converted-space">
    <w:name w:val="apple-converted-space"/>
    <w:basedOn w:val="Privzetapisavaodstavka"/>
    <w:rsid w:val="000770D5"/>
  </w:style>
  <w:style w:type="character" w:customStyle="1" w:styleId="UnresolvedMention2">
    <w:name w:val="Unresolved Mention2"/>
    <w:basedOn w:val="Privzetapisavaodstavka"/>
    <w:uiPriority w:val="99"/>
    <w:semiHidden/>
    <w:unhideWhenUsed/>
    <w:rsid w:val="00C77DD2"/>
    <w:rPr>
      <w:color w:val="605E5C"/>
      <w:shd w:val="clear" w:color="auto" w:fill="E1DFDD"/>
    </w:rPr>
  </w:style>
  <w:style w:type="character" w:styleId="SledenaHiperpovezava">
    <w:name w:val="FollowedHyperlink"/>
    <w:basedOn w:val="Privzetapisavaodstavka"/>
    <w:uiPriority w:val="99"/>
    <w:semiHidden/>
    <w:unhideWhenUsed/>
    <w:rsid w:val="00F018E6"/>
    <w:rPr>
      <w:color w:val="954F72" w:themeColor="followedHyperlink"/>
      <w:u w:val="single"/>
    </w:rPr>
  </w:style>
  <w:style w:type="paragraph" w:customStyle="1" w:styleId="li">
    <w:name w:val="li"/>
    <w:basedOn w:val="Navaden"/>
    <w:rsid w:val="004B1045"/>
    <w:pPr>
      <w:spacing w:before="100" w:beforeAutospacing="1" w:after="100" w:afterAutospacing="1"/>
    </w:pPr>
    <w:rPr>
      <w:rFonts w:eastAsiaTheme="minorHAnsi"/>
      <w:sz w:val="20"/>
      <w:szCs w:val="20"/>
      <w:lang w:val="en-US" w:eastAsia="en-US"/>
    </w:rPr>
  </w:style>
  <w:style w:type="character" w:customStyle="1" w:styleId="num">
    <w:name w:val="num"/>
    <w:basedOn w:val="Privzetapisavaodstavka"/>
    <w:rsid w:val="004B10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393889">
      <w:bodyDiv w:val="1"/>
      <w:marLeft w:val="0"/>
      <w:marRight w:val="0"/>
      <w:marTop w:val="0"/>
      <w:marBottom w:val="0"/>
      <w:divBdr>
        <w:top w:val="none" w:sz="0" w:space="0" w:color="auto"/>
        <w:left w:val="none" w:sz="0" w:space="0" w:color="auto"/>
        <w:bottom w:val="none" w:sz="0" w:space="0" w:color="auto"/>
        <w:right w:val="none" w:sz="0" w:space="0" w:color="auto"/>
      </w:divBdr>
      <w:divsChild>
        <w:div w:id="156893417">
          <w:marLeft w:val="0"/>
          <w:marRight w:val="0"/>
          <w:marTop w:val="0"/>
          <w:marBottom w:val="0"/>
          <w:divBdr>
            <w:top w:val="none" w:sz="0" w:space="0" w:color="auto"/>
            <w:left w:val="none" w:sz="0" w:space="0" w:color="auto"/>
            <w:bottom w:val="none" w:sz="0" w:space="0" w:color="auto"/>
            <w:right w:val="none" w:sz="0" w:space="0" w:color="auto"/>
          </w:divBdr>
          <w:divsChild>
            <w:div w:id="1071125500">
              <w:marLeft w:val="0"/>
              <w:marRight w:val="0"/>
              <w:marTop w:val="0"/>
              <w:marBottom w:val="0"/>
              <w:divBdr>
                <w:top w:val="none" w:sz="0" w:space="0" w:color="auto"/>
                <w:left w:val="none" w:sz="0" w:space="0" w:color="auto"/>
                <w:bottom w:val="none" w:sz="0" w:space="0" w:color="auto"/>
                <w:right w:val="none" w:sz="0" w:space="0" w:color="auto"/>
              </w:divBdr>
            </w:div>
            <w:div w:id="936330371">
              <w:marLeft w:val="0"/>
              <w:marRight w:val="0"/>
              <w:marTop w:val="0"/>
              <w:marBottom w:val="0"/>
              <w:divBdr>
                <w:top w:val="none" w:sz="0" w:space="0" w:color="auto"/>
                <w:left w:val="none" w:sz="0" w:space="0" w:color="auto"/>
                <w:bottom w:val="none" w:sz="0" w:space="0" w:color="auto"/>
                <w:right w:val="none" w:sz="0" w:space="0" w:color="auto"/>
              </w:divBdr>
            </w:div>
            <w:div w:id="2143882432">
              <w:marLeft w:val="0"/>
              <w:marRight w:val="0"/>
              <w:marTop w:val="0"/>
              <w:marBottom w:val="0"/>
              <w:divBdr>
                <w:top w:val="none" w:sz="0" w:space="0" w:color="auto"/>
                <w:left w:val="none" w:sz="0" w:space="0" w:color="auto"/>
                <w:bottom w:val="none" w:sz="0" w:space="0" w:color="auto"/>
                <w:right w:val="none" w:sz="0" w:space="0" w:color="auto"/>
              </w:divBdr>
            </w:div>
            <w:div w:id="63965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51899">
      <w:bodyDiv w:val="1"/>
      <w:marLeft w:val="0"/>
      <w:marRight w:val="0"/>
      <w:marTop w:val="0"/>
      <w:marBottom w:val="0"/>
      <w:divBdr>
        <w:top w:val="none" w:sz="0" w:space="0" w:color="auto"/>
        <w:left w:val="none" w:sz="0" w:space="0" w:color="auto"/>
        <w:bottom w:val="none" w:sz="0" w:space="0" w:color="auto"/>
        <w:right w:val="none" w:sz="0" w:space="0" w:color="auto"/>
      </w:divBdr>
      <w:divsChild>
        <w:div w:id="1998142216">
          <w:marLeft w:val="0"/>
          <w:marRight w:val="0"/>
          <w:marTop w:val="0"/>
          <w:marBottom w:val="0"/>
          <w:divBdr>
            <w:top w:val="none" w:sz="0" w:space="0" w:color="auto"/>
            <w:left w:val="none" w:sz="0" w:space="0" w:color="auto"/>
            <w:bottom w:val="none" w:sz="0" w:space="0" w:color="auto"/>
            <w:right w:val="none" w:sz="0" w:space="0" w:color="auto"/>
          </w:divBdr>
        </w:div>
        <w:div w:id="853689130">
          <w:marLeft w:val="0"/>
          <w:marRight w:val="0"/>
          <w:marTop w:val="0"/>
          <w:marBottom w:val="0"/>
          <w:divBdr>
            <w:top w:val="none" w:sz="0" w:space="0" w:color="auto"/>
            <w:left w:val="none" w:sz="0" w:space="0" w:color="auto"/>
            <w:bottom w:val="none" w:sz="0" w:space="0" w:color="auto"/>
            <w:right w:val="none" w:sz="0" w:space="0" w:color="auto"/>
          </w:divBdr>
        </w:div>
        <w:div w:id="1037897638">
          <w:marLeft w:val="0"/>
          <w:marRight w:val="0"/>
          <w:marTop w:val="0"/>
          <w:marBottom w:val="0"/>
          <w:divBdr>
            <w:top w:val="none" w:sz="0" w:space="0" w:color="auto"/>
            <w:left w:val="none" w:sz="0" w:space="0" w:color="auto"/>
            <w:bottom w:val="none" w:sz="0" w:space="0" w:color="auto"/>
            <w:right w:val="none" w:sz="0" w:space="0" w:color="auto"/>
          </w:divBdr>
        </w:div>
        <w:div w:id="1679503536">
          <w:marLeft w:val="0"/>
          <w:marRight w:val="0"/>
          <w:marTop w:val="0"/>
          <w:marBottom w:val="0"/>
          <w:divBdr>
            <w:top w:val="none" w:sz="0" w:space="0" w:color="auto"/>
            <w:left w:val="none" w:sz="0" w:space="0" w:color="auto"/>
            <w:bottom w:val="none" w:sz="0" w:space="0" w:color="auto"/>
            <w:right w:val="none" w:sz="0" w:space="0" w:color="auto"/>
          </w:divBdr>
        </w:div>
        <w:div w:id="1925414412">
          <w:marLeft w:val="0"/>
          <w:marRight w:val="0"/>
          <w:marTop w:val="0"/>
          <w:marBottom w:val="0"/>
          <w:divBdr>
            <w:top w:val="none" w:sz="0" w:space="0" w:color="auto"/>
            <w:left w:val="none" w:sz="0" w:space="0" w:color="auto"/>
            <w:bottom w:val="none" w:sz="0" w:space="0" w:color="auto"/>
            <w:right w:val="none" w:sz="0" w:space="0" w:color="auto"/>
          </w:divBdr>
        </w:div>
        <w:div w:id="1241715900">
          <w:marLeft w:val="0"/>
          <w:marRight w:val="0"/>
          <w:marTop w:val="0"/>
          <w:marBottom w:val="0"/>
          <w:divBdr>
            <w:top w:val="none" w:sz="0" w:space="0" w:color="auto"/>
            <w:left w:val="none" w:sz="0" w:space="0" w:color="auto"/>
            <w:bottom w:val="none" w:sz="0" w:space="0" w:color="auto"/>
            <w:right w:val="none" w:sz="0" w:space="0" w:color="auto"/>
          </w:divBdr>
        </w:div>
        <w:div w:id="16011360">
          <w:marLeft w:val="0"/>
          <w:marRight w:val="0"/>
          <w:marTop w:val="0"/>
          <w:marBottom w:val="0"/>
          <w:divBdr>
            <w:top w:val="none" w:sz="0" w:space="0" w:color="auto"/>
            <w:left w:val="none" w:sz="0" w:space="0" w:color="auto"/>
            <w:bottom w:val="none" w:sz="0" w:space="0" w:color="auto"/>
            <w:right w:val="none" w:sz="0" w:space="0" w:color="auto"/>
          </w:divBdr>
        </w:div>
        <w:div w:id="530265332">
          <w:marLeft w:val="0"/>
          <w:marRight w:val="0"/>
          <w:marTop w:val="0"/>
          <w:marBottom w:val="0"/>
          <w:divBdr>
            <w:top w:val="none" w:sz="0" w:space="0" w:color="auto"/>
            <w:left w:val="none" w:sz="0" w:space="0" w:color="auto"/>
            <w:bottom w:val="none" w:sz="0" w:space="0" w:color="auto"/>
            <w:right w:val="none" w:sz="0" w:space="0" w:color="auto"/>
          </w:divBdr>
        </w:div>
      </w:divsChild>
    </w:div>
    <w:div w:id="238446517">
      <w:bodyDiv w:val="1"/>
      <w:marLeft w:val="0"/>
      <w:marRight w:val="0"/>
      <w:marTop w:val="0"/>
      <w:marBottom w:val="0"/>
      <w:divBdr>
        <w:top w:val="none" w:sz="0" w:space="0" w:color="auto"/>
        <w:left w:val="none" w:sz="0" w:space="0" w:color="auto"/>
        <w:bottom w:val="none" w:sz="0" w:space="0" w:color="auto"/>
        <w:right w:val="none" w:sz="0" w:space="0" w:color="auto"/>
      </w:divBdr>
    </w:div>
    <w:div w:id="582029921">
      <w:bodyDiv w:val="1"/>
      <w:marLeft w:val="0"/>
      <w:marRight w:val="0"/>
      <w:marTop w:val="0"/>
      <w:marBottom w:val="0"/>
      <w:divBdr>
        <w:top w:val="none" w:sz="0" w:space="0" w:color="auto"/>
        <w:left w:val="none" w:sz="0" w:space="0" w:color="auto"/>
        <w:bottom w:val="none" w:sz="0" w:space="0" w:color="auto"/>
        <w:right w:val="none" w:sz="0" w:space="0" w:color="auto"/>
      </w:divBdr>
    </w:div>
    <w:div w:id="592787212">
      <w:bodyDiv w:val="1"/>
      <w:marLeft w:val="0"/>
      <w:marRight w:val="0"/>
      <w:marTop w:val="0"/>
      <w:marBottom w:val="0"/>
      <w:divBdr>
        <w:top w:val="none" w:sz="0" w:space="0" w:color="auto"/>
        <w:left w:val="none" w:sz="0" w:space="0" w:color="auto"/>
        <w:bottom w:val="none" w:sz="0" w:space="0" w:color="auto"/>
        <w:right w:val="none" w:sz="0" w:space="0" w:color="auto"/>
      </w:divBdr>
    </w:div>
    <w:div w:id="1450661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environment/water/water-framework/impl_reports.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mulec@wwfadria.org"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dria.panda.org/sl/" TargetMode="External"/><Relationship Id="rId5" Type="http://schemas.openxmlformats.org/officeDocument/2006/relationships/footnotes" Target="footnotes.xml"/><Relationship Id="rId10" Type="http://schemas.openxmlformats.org/officeDocument/2006/relationships/hyperlink" Target="http://www.wwfadria.org/sl/kampanje/protect_water/" TargetMode="External"/><Relationship Id="rId4" Type="http://schemas.openxmlformats.org/officeDocument/2006/relationships/webSettings" Target="webSettings.xml"/><Relationship Id="rId9" Type="http://schemas.openxmlformats.org/officeDocument/2006/relationships/hyperlink" Target="http://www.wwfadria.org/sl/kampanje/protect_wate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adria.panda.or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1584</Words>
  <Characters>9029</Characters>
  <Application>Microsoft Office Word</Application>
  <DocSecurity>0</DocSecurity>
  <Lines>75</Lines>
  <Paragraphs>21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Tina Mithans</cp:lastModifiedBy>
  <cp:revision>2</cp:revision>
  <dcterms:created xsi:type="dcterms:W3CDTF">2019-02-28T11:10:00Z</dcterms:created>
  <dcterms:modified xsi:type="dcterms:W3CDTF">2019-02-28T11:10:00Z</dcterms:modified>
</cp:coreProperties>
</file>